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9DC93" w14:textId="77777777" w:rsidR="0016658B" w:rsidRPr="00895D9A" w:rsidRDefault="0016658B" w:rsidP="0016658B">
      <w:pPr>
        <w:jc w:val="right"/>
        <w:rPr>
          <w:rFonts w:ascii="Open Sans" w:hAnsi="Open Sans" w:cs="Open Sans"/>
          <w:b/>
        </w:rPr>
      </w:pPr>
      <w:r w:rsidRPr="00895D9A">
        <w:rPr>
          <w:rFonts w:ascii="Open Sans" w:hAnsi="Open Sans" w:cs="Open Sans"/>
          <w:b/>
        </w:rPr>
        <w:t>Strona internetowa</w:t>
      </w:r>
    </w:p>
    <w:p w14:paraId="44659955" w14:textId="52217D48" w:rsidR="0016658B" w:rsidRDefault="0016658B" w:rsidP="0016658B">
      <w:pPr>
        <w:pStyle w:val="Nagwek"/>
        <w:tabs>
          <w:tab w:val="left" w:pos="708"/>
        </w:tabs>
        <w:spacing w:before="120"/>
        <w:ind w:left="567" w:hanging="567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dot.:</w:t>
      </w:r>
      <w:r>
        <w:rPr>
          <w:rFonts w:ascii="Open Sans" w:hAnsi="Open Sans" w:cs="Open Sans"/>
        </w:rPr>
        <w:t xml:space="preserve"> wyjaśnienia </w:t>
      </w:r>
      <w:r w:rsidR="00960D2F">
        <w:rPr>
          <w:rFonts w:ascii="Open Sans" w:hAnsi="Open Sans" w:cs="Open Sans"/>
        </w:rPr>
        <w:t>do</w:t>
      </w:r>
      <w:r>
        <w:rPr>
          <w:rFonts w:ascii="Open Sans" w:hAnsi="Open Sans" w:cs="Open Sans"/>
        </w:rPr>
        <w:t xml:space="preserve"> zapytania ofertowego na </w:t>
      </w:r>
      <w:r>
        <w:rPr>
          <w:rFonts w:ascii="Open Sans" w:hAnsi="Open Sans" w:cs="Open Sans"/>
          <w:b/>
        </w:rPr>
        <w:t>„</w:t>
      </w:r>
      <w:r w:rsidR="007279F9" w:rsidRPr="007279F9">
        <w:rPr>
          <w:rFonts w:ascii="Open Sans" w:hAnsi="Open Sans" w:cs="Open Sans"/>
          <w:b/>
        </w:rPr>
        <w:t>Budowa 8 stacji ładowania pojazdów elektrycznych</w:t>
      </w:r>
      <w:r w:rsidR="00960D2F">
        <w:rPr>
          <w:rFonts w:ascii="Open Sans" w:hAnsi="Open Sans" w:cs="Open Sans"/>
          <w:b/>
        </w:rPr>
        <w:t>”</w:t>
      </w:r>
      <w:r w:rsidR="00392443">
        <w:rPr>
          <w:rFonts w:ascii="Open Sans" w:hAnsi="Open Sans" w:cs="Open Sans"/>
          <w:b/>
        </w:rPr>
        <w:t>.</w:t>
      </w:r>
    </w:p>
    <w:p w14:paraId="08B83C0E" w14:textId="77777777" w:rsidR="0016658B" w:rsidRDefault="0016658B" w:rsidP="0016658B">
      <w:pPr>
        <w:pStyle w:val="Nagwek"/>
        <w:tabs>
          <w:tab w:val="left" w:pos="708"/>
        </w:tabs>
        <w:spacing w:before="120" w:line="276" w:lineRule="auto"/>
        <w:ind w:left="567" w:hanging="567"/>
        <w:jc w:val="both"/>
        <w:rPr>
          <w:rFonts w:ascii="Open Sans" w:hAnsi="Open Sans" w:cs="Open Sans"/>
        </w:rPr>
      </w:pPr>
    </w:p>
    <w:p w14:paraId="1EE4A753" w14:textId="4BB075B9" w:rsidR="0016658B" w:rsidRDefault="0016658B" w:rsidP="00083147">
      <w:pPr>
        <w:pStyle w:val="Nagwek"/>
        <w:tabs>
          <w:tab w:val="left" w:pos="708"/>
        </w:tabs>
        <w:spacing w:line="276" w:lineRule="auto"/>
        <w:ind w:firstLine="709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Gdański Zarząd Dróg </w:t>
      </w:r>
      <w:r w:rsidR="004012A1">
        <w:rPr>
          <w:rFonts w:ascii="Open Sans" w:hAnsi="Open Sans" w:cs="Open Sans"/>
        </w:rPr>
        <w:t>udziela wyjaśnień w w/w postępowaniu.</w:t>
      </w:r>
    </w:p>
    <w:p w14:paraId="44F3E482" w14:textId="77777777" w:rsidR="0016658B" w:rsidRDefault="0016658B" w:rsidP="00083147">
      <w:pPr>
        <w:spacing w:after="0"/>
        <w:jc w:val="both"/>
        <w:rPr>
          <w:rFonts w:ascii="Open Sans" w:hAnsi="Open Sans" w:cs="Open Sans"/>
          <w:b/>
        </w:rPr>
      </w:pPr>
      <w:bookmarkStart w:id="0" w:name="_Hlk131678488"/>
      <w:bookmarkStart w:id="1" w:name="_Hlk233283887"/>
    </w:p>
    <w:p w14:paraId="5B922265" w14:textId="5771F86F" w:rsidR="0016658B" w:rsidRDefault="0016658B" w:rsidP="00083147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1:</w:t>
      </w:r>
    </w:p>
    <w:p w14:paraId="39736A92" w14:textId="115B230C" w:rsidR="001D4F61" w:rsidRDefault="00425AA5" w:rsidP="007279F9">
      <w:pPr>
        <w:spacing w:after="0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„</w:t>
      </w:r>
      <w:r w:rsidR="007279F9" w:rsidRPr="007279F9">
        <w:rPr>
          <w:rFonts w:ascii="Open Sans" w:hAnsi="Open Sans" w:cs="Open Sans"/>
        </w:rPr>
        <w:t>OBLICZENIA — pkt 4.3 projektu przywołuje arkusz „OBLICZENIA Partyzantów.xlsx" jako integralną część dokumentacji. Czy możliwe jest jego udostępnienie?</w:t>
      </w:r>
      <w:r>
        <w:rPr>
          <w:rFonts w:ascii="Open Sans" w:hAnsi="Open Sans" w:cs="Open Sans"/>
        </w:rPr>
        <w:t>”</w:t>
      </w:r>
      <w:r w:rsidR="001D4F61" w:rsidRPr="001D4F61">
        <w:rPr>
          <w:rFonts w:ascii="Open Sans" w:hAnsi="Open Sans" w:cs="Open Sans"/>
        </w:rPr>
        <w:t>.</w:t>
      </w:r>
    </w:p>
    <w:p w14:paraId="353A0C2F" w14:textId="0916597B" w:rsidR="0016658B" w:rsidRDefault="0016658B" w:rsidP="001D4F61">
      <w:pPr>
        <w:spacing w:after="0"/>
        <w:jc w:val="both"/>
        <w:rPr>
          <w:rFonts w:ascii="Open Sans" w:eastAsia="Calibri" w:hAnsi="Open Sans" w:cs="Open Sans"/>
          <w:b/>
        </w:rPr>
      </w:pPr>
      <w:r>
        <w:rPr>
          <w:rFonts w:ascii="Open Sans" w:eastAsia="Calibri" w:hAnsi="Open Sans" w:cs="Open Sans"/>
          <w:b/>
        </w:rPr>
        <w:t xml:space="preserve">Odpowiedź: </w:t>
      </w:r>
      <w:bookmarkEnd w:id="1"/>
    </w:p>
    <w:bookmarkEnd w:id="0"/>
    <w:p w14:paraId="75EE723E" w14:textId="03AC09E8" w:rsidR="00DC03C8" w:rsidRDefault="007279F9" w:rsidP="00DC03C8">
      <w:pPr>
        <w:spacing w:after="60"/>
        <w:jc w:val="both"/>
        <w:outlineLvl w:val="1"/>
        <w:rPr>
          <w:rFonts w:ascii="Open Sans" w:eastAsia="Calibri" w:hAnsi="Open Sans" w:cs="Open Sans"/>
        </w:rPr>
      </w:pPr>
      <w:r w:rsidRPr="007279F9">
        <w:rPr>
          <w:rFonts w:ascii="Open Sans" w:eastAsia="Calibri" w:hAnsi="Open Sans" w:cs="Open Sans"/>
        </w:rPr>
        <w:t>Zamawiający udostępnia arkusz obliczenia jako załącznik do projektu do niniejszych wyjaśnień</w:t>
      </w:r>
      <w:r w:rsidR="00DC03C8">
        <w:rPr>
          <w:rFonts w:ascii="Open Sans" w:eastAsia="Calibri" w:hAnsi="Open Sans" w:cs="Open Sans"/>
        </w:rPr>
        <w:t>”</w:t>
      </w:r>
      <w:r w:rsidR="00DC03C8" w:rsidRPr="00DC03C8">
        <w:rPr>
          <w:rFonts w:ascii="Open Sans" w:eastAsia="Calibri" w:hAnsi="Open Sans" w:cs="Open Sans"/>
        </w:rPr>
        <w:t xml:space="preserve"> </w:t>
      </w:r>
    </w:p>
    <w:p w14:paraId="54DE962F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7A347EEF" w14:textId="145F5A59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Pytanie nr </w:t>
      </w:r>
      <w:r>
        <w:rPr>
          <w:rFonts w:ascii="Open Sans" w:hAnsi="Open Sans" w:cs="Open Sans"/>
          <w:b/>
        </w:rPr>
        <w:t>2</w:t>
      </w:r>
      <w:r>
        <w:rPr>
          <w:rFonts w:ascii="Open Sans" w:hAnsi="Open Sans" w:cs="Open Sans"/>
          <w:b/>
        </w:rPr>
        <w:t>:</w:t>
      </w:r>
    </w:p>
    <w:p w14:paraId="24A73C19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 xml:space="preserve">POLE NR 6 RG — w dokumentacji pojawiają się dwie wartości zabezpieczenia tego pola: </w:t>
      </w:r>
      <w:proofErr w:type="spellStart"/>
      <w:r w:rsidRPr="007279F9">
        <w:rPr>
          <w:rFonts w:ascii="Open Sans" w:hAnsi="Open Sans" w:cs="Open Sans"/>
        </w:rPr>
        <w:t>gG</w:t>
      </w:r>
      <w:proofErr w:type="spellEnd"/>
      <w:r w:rsidRPr="007279F9">
        <w:rPr>
          <w:rFonts w:ascii="Open Sans" w:hAnsi="Open Sans" w:cs="Open Sans"/>
        </w:rPr>
        <w:t xml:space="preserve"> 80 A (tabela obliczeń) oraz </w:t>
      </w:r>
      <w:proofErr w:type="spellStart"/>
      <w:r w:rsidRPr="007279F9">
        <w:rPr>
          <w:rFonts w:ascii="Open Sans" w:hAnsi="Open Sans" w:cs="Open Sans"/>
        </w:rPr>
        <w:t>gG</w:t>
      </w:r>
      <w:proofErr w:type="spellEnd"/>
      <w:r w:rsidRPr="007279F9">
        <w:rPr>
          <w:rFonts w:ascii="Open Sans" w:hAnsi="Open Sans" w:cs="Open Sans"/>
        </w:rPr>
        <w:t xml:space="preserve"> 100 A (opis i schemat E2). Prosimy o wskazanie wartości wiążącej.</w:t>
      </w:r>
    </w:p>
    <w:p w14:paraId="04B86EF3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  <w:b/>
        </w:rPr>
        <w:t>Odpowiedź:</w:t>
      </w:r>
      <w:r w:rsidRPr="007279F9">
        <w:rPr>
          <w:rFonts w:ascii="Open Sans" w:hAnsi="Open Sans" w:cs="Open Sans"/>
        </w:rPr>
        <w:t xml:space="preserve"> </w:t>
      </w:r>
    </w:p>
    <w:p w14:paraId="710F6752" w14:textId="673F5BFA" w:rsidR="00DC03C8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 xml:space="preserve">Wartością wiążącą jest </w:t>
      </w:r>
      <w:proofErr w:type="spellStart"/>
      <w:r w:rsidRPr="007279F9">
        <w:rPr>
          <w:rFonts w:ascii="Open Sans" w:hAnsi="Open Sans" w:cs="Open Sans"/>
        </w:rPr>
        <w:t>gG</w:t>
      </w:r>
      <w:proofErr w:type="spellEnd"/>
      <w:r w:rsidRPr="007279F9">
        <w:rPr>
          <w:rFonts w:ascii="Open Sans" w:hAnsi="Open Sans" w:cs="Open Sans"/>
        </w:rPr>
        <w:t xml:space="preserve"> 100 A.</w:t>
      </w:r>
    </w:p>
    <w:p w14:paraId="17882C24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5E1220EA" w14:textId="132305F3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Pytanie nr </w:t>
      </w:r>
      <w:r>
        <w:rPr>
          <w:rFonts w:ascii="Open Sans" w:hAnsi="Open Sans" w:cs="Open Sans"/>
          <w:b/>
        </w:rPr>
        <w:t>3</w:t>
      </w:r>
      <w:r>
        <w:rPr>
          <w:rFonts w:ascii="Open Sans" w:hAnsi="Open Sans" w:cs="Open Sans"/>
          <w:b/>
        </w:rPr>
        <w:t>:</w:t>
      </w:r>
    </w:p>
    <w:p w14:paraId="2FDAAFD5" w14:textId="77777777" w:rsidR="007279F9" w:rsidRPr="007279F9" w:rsidRDefault="007279F9" w:rsidP="007279F9">
      <w:pPr>
        <w:spacing w:after="0"/>
        <w:jc w:val="both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STOPIEŃ OCHRONY ROZDZIELNICY EMS — w opisie występuje IP65 (pkt 2.4) i IP54 (pkt 2.6, zestawienie, przedmiar). Prosimy o potwierdzenie wymaganego stopnia ochrony.</w:t>
      </w:r>
    </w:p>
    <w:p w14:paraId="31846171" w14:textId="77777777" w:rsidR="007279F9" w:rsidRDefault="007279F9" w:rsidP="007279F9">
      <w:pPr>
        <w:spacing w:after="0"/>
        <w:jc w:val="both"/>
        <w:rPr>
          <w:rFonts w:ascii="Open Sans" w:hAnsi="Open Sans" w:cs="Open Sans"/>
        </w:rPr>
      </w:pPr>
      <w:r w:rsidRPr="007279F9">
        <w:rPr>
          <w:rFonts w:ascii="Open Sans" w:hAnsi="Open Sans" w:cs="Open Sans"/>
          <w:b/>
        </w:rPr>
        <w:t>Odpowiedź:</w:t>
      </w:r>
      <w:r w:rsidRPr="007279F9">
        <w:rPr>
          <w:rFonts w:ascii="Open Sans" w:hAnsi="Open Sans" w:cs="Open Sans"/>
        </w:rPr>
        <w:t xml:space="preserve"> </w:t>
      </w:r>
    </w:p>
    <w:p w14:paraId="7885A7EA" w14:textId="42C598D1" w:rsidR="007279F9" w:rsidRDefault="007279F9" w:rsidP="007279F9">
      <w:pPr>
        <w:spacing w:after="0"/>
        <w:jc w:val="both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Wartością wiążącą jest IP54 (minimum)</w:t>
      </w:r>
    </w:p>
    <w:p w14:paraId="191FD21B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74CC242E" w14:textId="5D23C32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Pytanie nr </w:t>
      </w:r>
      <w:r>
        <w:rPr>
          <w:rFonts w:ascii="Open Sans" w:hAnsi="Open Sans" w:cs="Open Sans"/>
          <w:b/>
        </w:rPr>
        <w:t>4</w:t>
      </w:r>
      <w:r>
        <w:rPr>
          <w:rFonts w:ascii="Open Sans" w:hAnsi="Open Sans" w:cs="Open Sans"/>
          <w:b/>
        </w:rPr>
        <w:t>:</w:t>
      </w:r>
    </w:p>
    <w:p w14:paraId="48598B69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AUTORYZACJA UŻYTKOWNIKÓW — zestawienie wymienia RFID, OPZ wskazuje konta użytkowników bez RFID. Czy stacje mają mieć czytniki RFID/NFC, czy autoryzacja wyłącznie przez konta w aplikacji?</w:t>
      </w:r>
    </w:p>
    <w:p w14:paraId="450B3221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  <w:b/>
        </w:rPr>
        <w:t>Odpowiedź:</w:t>
      </w:r>
      <w:r w:rsidRPr="007279F9">
        <w:rPr>
          <w:rFonts w:ascii="Open Sans" w:hAnsi="Open Sans" w:cs="Open Sans"/>
        </w:rPr>
        <w:t xml:space="preserve"> </w:t>
      </w:r>
    </w:p>
    <w:p w14:paraId="3D08E401" w14:textId="52B6ACAC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>Stacje NIE wymagają czytników RFID/NFC. Autoryzacja i kontrola dostępu realizowana jest wyłącznie przez konta użytkowników w systemie EMS (logowanie w aplikacji mobilnej/Web).</w:t>
      </w:r>
      <w:r>
        <w:rPr>
          <w:rFonts w:ascii="Open Sans" w:eastAsia="Calibri" w:hAnsi="Open Sans" w:cs="Open Sans"/>
          <w:b/>
        </w:rPr>
        <w:t>:</w:t>
      </w:r>
    </w:p>
    <w:p w14:paraId="1D7B08D8" w14:textId="6DD55B3C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lastRenderedPageBreak/>
        <w:t xml:space="preserve">Pytanie nr </w:t>
      </w:r>
      <w:r>
        <w:rPr>
          <w:rFonts w:ascii="Open Sans" w:hAnsi="Open Sans" w:cs="Open Sans"/>
          <w:b/>
        </w:rPr>
        <w:t>5</w:t>
      </w:r>
      <w:r>
        <w:rPr>
          <w:rFonts w:ascii="Open Sans" w:hAnsi="Open Sans" w:cs="Open Sans"/>
          <w:b/>
        </w:rPr>
        <w:t>:</w:t>
      </w:r>
    </w:p>
    <w:p w14:paraId="0DB28712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 xml:space="preserve">LIMITY MOCY ŁAŃCUCHÓW — OPZ wskazuje REVD ≤ 65 kW, ZK1 ≤ 65 </w:t>
      </w:r>
      <w:proofErr w:type="spellStart"/>
      <w:r w:rsidRPr="007279F9">
        <w:rPr>
          <w:rFonts w:ascii="Open Sans" w:hAnsi="Open Sans" w:cs="Open Sans"/>
        </w:rPr>
        <w:t>kW.</w:t>
      </w:r>
      <w:proofErr w:type="spellEnd"/>
      <w:r w:rsidRPr="007279F9">
        <w:rPr>
          <w:rFonts w:ascii="Open Sans" w:hAnsi="Open Sans" w:cs="Open Sans"/>
        </w:rPr>
        <w:t xml:space="preserve"> Prosimy o potwierdzenie, że limit Łańcucha 1 (REVD) wynosi również ≤ 65 </w:t>
      </w:r>
      <w:proofErr w:type="spellStart"/>
      <w:r w:rsidRPr="007279F9">
        <w:rPr>
          <w:rFonts w:ascii="Open Sans" w:hAnsi="Open Sans" w:cs="Open Sans"/>
        </w:rPr>
        <w:t>kW.</w:t>
      </w:r>
      <w:proofErr w:type="spellEnd"/>
    </w:p>
    <w:p w14:paraId="5B074689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  <w:b/>
        </w:rPr>
        <w:t>Odpowiedź:</w:t>
      </w:r>
    </w:p>
    <w:p w14:paraId="7AF28F57" w14:textId="4129CC16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</w:rPr>
      </w:pPr>
      <w:r w:rsidRPr="007279F9">
        <w:rPr>
          <w:rFonts w:ascii="Open Sans" w:hAnsi="Open Sans" w:cs="Open Sans"/>
        </w:rPr>
        <w:t xml:space="preserve">Potwierdza się: limit obowiązuje dla obu łańcuchów jednakowo — Łańcuch 1 (REVD bud. D) ≤ 65 </w:t>
      </w:r>
      <w:proofErr w:type="spellStart"/>
      <w:r w:rsidRPr="007279F9">
        <w:rPr>
          <w:rFonts w:ascii="Open Sans" w:hAnsi="Open Sans" w:cs="Open Sans"/>
        </w:rPr>
        <w:t>kW.</w:t>
      </w:r>
      <w:proofErr w:type="spellEnd"/>
    </w:p>
    <w:p w14:paraId="640EA752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2135E629" w14:textId="4FFCC675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Pytanie nr </w:t>
      </w:r>
      <w:r>
        <w:rPr>
          <w:rFonts w:ascii="Open Sans" w:hAnsi="Open Sans" w:cs="Open Sans"/>
          <w:b/>
        </w:rPr>
        <w:t>6</w:t>
      </w:r>
      <w:r>
        <w:rPr>
          <w:rFonts w:ascii="Open Sans" w:hAnsi="Open Sans" w:cs="Open Sans"/>
          <w:b/>
        </w:rPr>
        <w:t>:</w:t>
      </w:r>
    </w:p>
    <w:p w14:paraId="188654A1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DŁUGOŚĆ MAGISTRALI — długość kabla UTP kat. 6a różni się między dokumentami (rys. E1: 56 m, opis: ok. 180 m, przedmiar D4: 200 m). Prosimy o wartość wiążącą.</w:t>
      </w:r>
    </w:p>
    <w:p w14:paraId="56A3204A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  <w:b/>
        </w:rPr>
      </w:pPr>
      <w:r w:rsidRPr="007279F9">
        <w:rPr>
          <w:rFonts w:ascii="Open Sans" w:hAnsi="Open Sans" w:cs="Open Sans"/>
          <w:b/>
        </w:rPr>
        <w:t>Odpowiedź:</w:t>
      </w:r>
    </w:p>
    <w:p w14:paraId="0184F098" w14:textId="2E67DAE5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>Do wyceny wiążąca jest wartość z przedmiaru: 200 m</w:t>
      </w:r>
      <w:r w:rsidR="00654598">
        <w:rPr>
          <w:rFonts w:ascii="Open Sans" w:hAnsi="Open Sans" w:cs="Open Sans"/>
        </w:rPr>
        <w:t>.</w:t>
      </w:r>
    </w:p>
    <w:p w14:paraId="683EC119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4A82C56E" w14:textId="75C9136C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Pytanie nr </w:t>
      </w:r>
      <w:r>
        <w:rPr>
          <w:rFonts w:ascii="Open Sans" w:hAnsi="Open Sans" w:cs="Open Sans"/>
          <w:b/>
        </w:rPr>
        <w:t>7</w:t>
      </w:r>
      <w:r>
        <w:rPr>
          <w:rFonts w:ascii="Open Sans" w:hAnsi="Open Sans" w:cs="Open Sans"/>
          <w:b/>
        </w:rPr>
        <w:t>:</w:t>
      </w:r>
    </w:p>
    <w:p w14:paraId="43E71E49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STACJA STANDALONE (wymiana) — prosimy o typ i lokalizację istniejącej stacji oraz parametry zasilania (przekrój kabla, zabezpieczenie).</w:t>
      </w:r>
    </w:p>
    <w:p w14:paraId="38E603BC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  <w:b/>
        </w:rPr>
        <w:t>Odpowiedź:</w:t>
      </w:r>
    </w:p>
    <w:p w14:paraId="042DB328" w14:textId="6B2A0887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 xml:space="preserve">Istniejąca, niedziałająca stacja zlokalizowana jest na terenie nieruchomości GZD przy ul. Partyzantów 36; doprowadzone zasilanie (obwód 3-fazowy 400 V dla ładowarki 11 kW) przewidziane do ponownego wykorzystania. Wymagana nowa stacja: AC </w:t>
      </w:r>
      <w:proofErr w:type="spellStart"/>
      <w:r w:rsidRPr="007279F9">
        <w:rPr>
          <w:rFonts w:ascii="Open Sans" w:hAnsi="Open Sans" w:cs="Open Sans"/>
        </w:rPr>
        <w:t>Mode</w:t>
      </w:r>
      <w:proofErr w:type="spellEnd"/>
      <w:r w:rsidRPr="007279F9">
        <w:rPr>
          <w:rFonts w:ascii="Open Sans" w:hAnsi="Open Sans" w:cs="Open Sans"/>
        </w:rPr>
        <w:t xml:space="preserve"> 3, </w:t>
      </w:r>
      <w:proofErr w:type="spellStart"/>
      <w:r w:rsidRPr="007279F9">
        <w:rPr>
          <w:rFonts w:ascii="Open Sans" w:hAnsi="Open Sans" w:cs="Open Sans"/>
        </w:rPr>
        <w:t>Type</w:t>
      </w:r>
      <w:proofErr w:type="spellEnd"/>
      <w:r w:rsidRPr="007279F9">
        <w:rPr>
          <w:rFonts w:ascii="Open Sans" w:hAnsi="Open Sans" w:cs="Open Sans"/>
        </w:rPr>
        <w:t xml:space="preserve"> 2, 11 kW (3×16 A), IP54 min., montaż jako niezależna (bez integracji z EMS), zabezpieczenie wg DTR producenta</w:t>
      </w:r>
    </w:p>
    <w:p w14:paraId="78D39F51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6993E4E7" w14:textId="5CCE3CB0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Pytanie nr </w:t>
      </w:r>
      <w:r>
        <w:rPr>
          <w:rFonts w:ascii="Open Sans" w:hAnsi="Open Sans" w:cs="Open Sans"/>
          <w:b/>
        </w:rPr>
        <w:t>8</w:t>
      </w:r>
      <w:r>
        <w:rPr>
          <w:rFonts w:ascii="Open Sans" w:hAnsi="Open Sans" w:cs="Open Sans"/>
          <w:b/>
        </w:rPr>
        <w:t>:</w:t>
      </w:r>
    </w:p>
    <w:p w14:paraId="6E5B2A7F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KARTA SIM M2M — OPZ przewiduje transmisję opłaconą przez Wykonawcę na okres gwarancji. Prosimy o długość okresu do wyceny.</w:t>
      </w:r>
    </w:p>
    <w:p w14:paraId="75FDD093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  <w:b/>
        </w:rPr>
        <w:t>Odpowiedź:</w:t>
      </w:r>
      <w:r w:rsidRPr="007279F9">
        <w:rPr>
          <w:rFonts w:ascii="Open Sans" w:hAnsi="Open Sans" w:cs="Open Sans"/>
        </w:rPr>
        <w:t xml:space="preserve"> </w:t>
      </w:r>
    </w:p>
    <w:p w14:paraId="3FC9EC44" w14:textId="7E3297FD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>Do wyceny przyjąć okres równy minimalnej gwarancji, tj. 24 miesiące</w:t>
      </w:r>
      <w:r>
        <w:rPr>
          <w:rFonts w:ascii="Open Sans" w:eastAsia="Calibri" w:hAnsi="Open Sans" w:cs="Open Sans"/>
          <w:b/>
        </w:rPr>
        <w:t>:</w:t>
      </w:r>
    </w:p>
    <w:p w14:paraId="780B05A6" w14:textId="59E4B135" w:rsidR="007279F9" w:rsidRDefault="007279F9" w:rsidP="007279F9">
      <w:pPr>
        <w:spacing w:after="60"/>
        <w:jc w:val="both"/>
        <w:outlineLvl w:val="1"/>
        <w:rPr>
          <w:rFonts w:ascii="Open Sans" w:eastAsia="Times New Roman" w:hAnsi="Open Sans" w:cs="Open Sans"/>
        </w:rPr>
      </w:pPr>
    </w:p>
    <w:p w14:paraId="02581E42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098D6C39" w14:textId="5E5302FD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Pytanie nr </w:t>
      </w:r>
      <w:r>
        <w:rPr>
          <w:rFonts w:ascii="Open Sans" w:hAnsi="Open Sans" w:cs="Open Sans"/>
          <w:b/>
        </w:rPr>
        <w:t>9</w:t>
      </w:r>
      <w:r>
        <w:rPr>
          <w:rFonts w:ascii="Open Sans" w:hAnsi="Open Sans" w:cs="Open Sans"/>
          <w:b/>
        </w:rPr>
        <w:t>:</w:t>
      </w:r>
    </w:p>
    <w:p w14:paraId="4AA3F80C" w14:textId="77777777" w:rsidR="007279F9" w:rsidRPr="007279F9" w:rsidRDefault="007279F9" w:rsidP="007279F9">
      <w:pPr>
        <w:spacing w:after="0"/>
        <w:jc w:val="both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KODY KATALOGOWE — część kodów uległa aktualizacji u producenta. Czy wiążące są parametry techniczne, a Wykonawca wskaże aktualne kody w Kartach Materiałowych?</w:t>
      </w:r>
    </w:p>
    <w:p w14:paraId="09E60E86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 w:rsidRPr="007279F9">
        <w:rPr>
          <w:rFonts w:ascii="Open Sans" w:hAnsi="Open Sans" w:cs="Open Sans"/>
          <w:b/>
        </w:rPr>
        <w:t>Odpowiedź:</w:t>
      </w:r>
    </w:p>
    <w:p w14:paraId="55F4E5B1" w14:textId="59C7D5FD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 w:rsidRPr="007279F9">
        <w:rPr>
          <w:rFonts w:ascii="Open Sans" w:hAnsi="Open Sans" w:cs="Open Sans"/>
        </w:rPr>
        <w:lastRenderedPageBreak/>
        <w:t>Potwierdza się: wiążące są parametry techniczne urządzeń określone w OPZ i projekcie wykonawczym, a nie konkretne kody katalogowe. Wykonawca wskaże aktualne kody oferowanych urządzeń w Kartach Materiałowych, wykazując spełnienie wymaganych parametrów (lub parametrów nie gorszych — równoważność).</w:t>
      </w:r>
    </w:p>
    <w:p w14:paraId="76A26C32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2F1C9F14" w14:textId="501DAC4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</w:t>
      </w:r>
      <w:r>
        <w:rPr>
          <w:rFonts w:ascii="Open Sans" w:hAnsi="Open Sans" w:cs="Open Sans"/>
          <w:b/>
        </w:rPr>
        <w:t>0</w:t>
      </w:r>
      <w:r>
        <w:rPr>
          <w:rFonts w:ascii="Open Sans" w:hAnsi="Open Sans" w:cs="Open Sans"/>
          <w:b/>
        </w:rPr>
        <w:t>:</w:t>
      </w:r>
    </w:p>
    <w:p w14:paraId="38A24E91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MONITOR — KLASA ENERGETYCZNA — prosimy o doprecyzowanie zapisu „min. F".</w:t>
      </w:r>
    </w:p>
    <w:p w14:paraId="659232CC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  <w:b/>
        </w:rPr>
        <w:t>Odpowiedź:</w:t>
      </w:r>
    </w:p>
    <w:p w14:paraId="7BADEA3D" w14:textId="34B39713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 xml:space="preserve">Wymaganie „min. F" oznacza klasę nie gorszą niż F (dopuszczalna F lub wyższa: E, D, C, B, A). Monitor: LCD 32" klasy </w:t>
      </w:r>
      <w:proofErr w:type="spellStart"/>
      <w:r w:rsidRPr="007279F9">
        <w:rPr>
          <w:rFonts w:ascii="Open Sans" w:hAnsi="Open Sans" w:cs="Open Sans"/>
        </w:rPr>
        <w:t>digital</w:t>
      </w:r>
      <w:proofErr w:type="spellEnd"/>
      <w:r w:rsidRPr="007279F9">
        <w:rPr>
          <w:rFonts w:ascii="Open Sans" w:hAnsi="Open Sans" w:cs="Open Sans"/>
        </w:rPr>
        <w:t xml:space="preserve"> </w:t>
      </w:r>
      <w:proofErr w:type="spellStart"/>
      <w:r w:rsidRPr="007279F9">
        <w:rPr>
          <w:rFonts w:ascii="Open Sans" w:hAnsi="Open Sans" w:cs="Open Sans"/>
        </w:rPr>
        <w:t>signage</w:t>
      </w:r>
      <w:proofErr w:type="spellEnd"/>
      <w:r w:rsidRPr="007279F9">
        <w:rPr>
          <w:rFonts w:ascii="Open Sans" w:hAnsi="Open Sans" w:cs="Open Sans"/>
        </w:rPr>
        <w:t xml:space="preserve"> do pracy ciągłej 24/7</w:t>
      </w:r>
      <w:r>
        <w:rPr>
          <w:rFonts w:ascii="Open Sans" w:eastAsia="Calibri" w:hAnsi="Open Sans" w:cs="Open Sans"/>
          <w:b/>
        </w:rPr>
        <w:t>:</w:t>
      </w:r>
    </w:p>
    <w:p w14:paraId="6E198C4B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65280F42" w14:textId="68B77B02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</w:t>
      </w:r>
      <w:r>
        <w:rPr>
          <w:rFonts w:ascii="Open Sans" w:hAnsi="Open Sans" w:cs="Open Sans"/>
          <w:b/>
        </w:rPr>
        <w:t>1</w:t>
      </w:r>
      <w:r>
        <w:rPr>
          <w:rFonts w:ascii="Open Sans" w:hAnsi="Open Sans" w:cs="Open Sans"/>
          <w:b/>
        </w:rPr>
        <w:t>:</w:t>
      </w:r>
    </w:p>
    <w:p w14:paraId="1F650044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WARTOŚĆ SZACUNKOWA — strona tytułowa wymienia kosztorys szacunkowy jako załącznik. Czy możliwe jest udostępnienie lub podanie wartości szacunkowej?</w:t>
      </w:r>
    </w:p>
    <w:p w14:paraId="14E82FA7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  <w:b/>
        </w:rPr>
      </w:pPr>
      <w:r w:rsidRPr="007279F9">
        <w:rPr>
          <w:rFonts w:ascii="Open Sans" w:hAnsi="Open Sans" w:cs="Open Sans"/>
          <w:b/>
        </w:rPr>
        <w:t>Odpowiedź:</w:t>
      </w:r>
    </w:p>
    <w:p w14:paraId="039E61C6" w14:textId="2A78CAC9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 xml:space="preserve"> Zamawiający nie udostępni wartości szacunkowej</w:t>
      </w:r>
      <w:r>
        <w:rPr>
          <w:rFonts w:ascii="Open Sans" w:hAnsi="Open Sans" w:cs="Open Sans"/>
        </w:rPr>
        <w:t>.</w:t>
      </w:r>
    </w:p>
    <w:p w14:paraId="36984EF9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0C1A67A6" w14:textId="39549324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</w:t>
      </w:r>
      <w:r>
        <w:rPr>
          <w:rFonts w:ascii="Open Sans" w:hAnsi="Open Sans" w:cs="Open Sans"/>
          <w:b/>
        </w:rPr>
        <w:t>2</w:t>
      </w:r>
      <w:r>
        <w:rPr>
          <w:rFonts w:ascii="Open Sans" w:hAnsi="Open Sans" w:cs="Open Sans"/>
          <w:b/>
        </w:rPr>
        <w:t>:</w:t>
      </w:r>
    </w:p>
    <w:p w14:paraId="15C29EED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 xml:space="preserve">ANALIZATORY SIECI — schemat E2 pokazuje analizatory magistrali </w:t>
      </w:r>
      <w:proofErr w:type="spellStart"/>
      <w:r w:rsidRPr="007279F9">
        <w:rPr>
          <w:rFonts w:ascii="Open Sans" w:hAnsi="Open Sans" w:cs="Open Sans"/>
        </w:rPr>
        <w:t>Tree</w:t>
      </w:r>
      <w:proofErr w:type="spellEnd"/>
      <w:r w:rsidRPr="007279F9">
        <w:rPr>
          <w:rFonts w:ascii="Open Sans" w:hAnsi="Open Sans" w:cs="Open Sans"/>
        </w:rPr>
        <w:t xml:space="preserve">, opis/zestawienie/przedmiar — </w:t>
      </w:r>
      <w:proofErr w:type="spellStart"/>
      <w:r w:rsidRPr="007279F9">
        <w:rPr>
          <w:rFonts w:ascii="Open Sans" w:hAnsi="Open Sans" w:cs="Open Sans"/>
        </w:rPr>
        <w:t>Modbus</w:t>
      </w:r>
      <w:proofErr w:type="spellEnd"/>
      <w:r w:rsidRPr="007279F9">
        <w:rPr>
          <w:rFonts w:ascii="Open Sans" w:hAnsi="Open Sans" w:cs="Open Sans"/>
        </w:rPr>
        <w:t xml:space="preserve"> RTU. Czy dopuszcza się analizatory komunikujące się natywnie magistralą systemu, klasa 0,5, MID?</w:t>
      </w:r>
    </w:p>
    <w:p w14:paraId="11E090DB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  <w:b/>
        </w:rPr>
      </w:pPr>
      <w:r w:rsidRPr="007279F9">
        <w:rPr>
          <w:rFonts w:ascii="Open Sans" w:hAnsi="Open Sans" w:cs="Open Sans"/>
          <w:b/>
        </w:rPr>
        <w:t>Odpowiedź:</w:t>
      </w:r>
    </w:p>
    <w:p w14:paraId="016C662C" w14:textId="6F21E451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t>Zamawiający dopuszcza rozwiązania równoważne. Wymagane są analizatory energii 3-fazowe o klasie dokładności nie gorszej niż 0,5 (dla mocy), z certyfikatem MID, komunikujące się z centralnym sterownikiem EMS. Sposób komunikacji (</w:t>
      </w:r>
      <w:proofErr w:type="spellStart"/>
      <w:r w:rsidRPr="007279F9">
        <w:rPr>
          <w:rFonts w:ascii="Open Sans" w:hAnsi="Open Sans" w:cs="Open Sans"/>
        </w:rPr>
        <w:t>Modbus</w:t>
      </w:r>
      <w:proofErr w:type="spellEnd"/>
      <w:r w:rsidRPr="007279F9">
        <w:rPr>
          <w:rFonts w:ascii="Open Sans" w:hAnsi="Open Sans" w:cs="Open Sans"/>
        </w:rPr>
        <w:t xml:space="preserve"> RTU LUB natywna magistrala systemu) jest dowolny, pod warunkiem zachowania funkcjonalności i parametrów. Nie wymaga się urządzeń konkretnego producenta</w:t>
      </w:r>
    </w:p>
    <w:p w14:paraId="6EFFA73D" w14:textId="60BFB07E" w:rsidR="007279F9" w:rsidRDefault="007279F9" w:rsidP="007279F9">
      <w:pPr>
        <w:spacing w:after="60"/>
        <w:jc w:val="both"/>
        <w:outlineLvl w:val="1"/>
        <w:rPr>
          <w:rFonts w:ascii="Open Sans" w:eastAsia="Times New Roman" w:hAnsi="Open Sans" w:cs="Open Sans"/>
        </w:rPr>
      </w:pPr>
    </w:p>
    <w:p w14:paraId="223E2ED9" w14:textId="0240F190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</w:t>
      </w:r>
      <w:r>
        <w:rPr>
          <w:rFonts w:ascii="Open Sans" w:hAnsi="Open Sans" w:cs="Open Sans"/>
          <w:b/>
        </w:rPr>
        <w:t>3</w:t>
      </w:r>
      <w:r>
        <w:rPr>
          <w:rFonts w:ascii="Open Sans" w:hAnsi="Open Sans" w:cs="Open Sans"/>
          <w:b/>
        </w:rPr>
        <w:t>:</w:t>
      </w:r>
    </w:p>
    <w:p w14:paraId="765A5ADF" w14:textId="77777777" w:rsidR="007279F9" w:rsidRPr="007279F9" w:rsidRDefault="007279F9" w:rsidP="007279F9">
      <w:pPr>
        <w:spacing w:after="60"/>
        <w:jc w:val="both"/>
        <w:outlineLvl w:val="1"/>
        <w:rPr>
          <w:rFonts w:ascii="Open Sans" w:hAnsi="Open Sans" w:cs="Open Sans"/>
        </w:rPr>
      </w:pPr>
      <w:r w:rsidRPr="007279F9">
        <w:rPr>
          <w:rFonts w:ascii="Open Sans" w:hAnsi="Open Sans" w:cs="Open Sans"/>
        </w:rPr>
        <w:t>DOBÓR PRZEKŁADNIKÓW — dokumentacja wskazuje jednolite CT 100/5 A dla wszystkich 9 punktów, w tym pola RG (</w:t>
      </w:r>
      <w:proofErr w:type="spellStart"/>
      <w:r w:rsidRPr="007279F9">
        <w:rPr>
          <w:rFonts w:ascii="Open Sans" w:hAnsi="Open Sans" w:cs="Open Sans"/>
        </w:rPr>
        <w:t>Iszczyt</w:t>
      </w:r>
      <w:proofErr w:type="spellEnd"/>
      <w:r w:rsidRPr="007279F9">
        <w:rPr>
          <w:rFonts w:ascii="Open Sans" w:hAnsi="Open Sans" w:cs="Open Sans"/>
        </w:rPr>
        <w:t xml:space="preserve"> ≈ 152 A). Czy dopuszcza się dobór CT do prądu znamionowego pól?</w:t>
      </w:r>
    </w:p>
    <w:p w14:paraId="5C15FE45" w14:textId="77777777" w:rsidR="007279F9" w:rsidRDefault="007279F9" w:rsidP="007279F9">
      <w:pPr>
        <w:spacing w:after="60"/>
        <w:jc w:val="both"/>
        <w:outlineLvl w:val="1"/>
        <w:rPr>
          <w:rFonts w:ascii="Open Sans" w:hAnsi="Open Sans" w:cs="Open Sans"/>
          <w:b/>
        </w:rPr>
      </w:pPr>
      <w:r w:rsidRPr="007279F9">
        <w:rPr>
          <w:rFonts w:ascii="Open Sans" w:hAnsi="Open Sans" w:cs="Open Sans"/>
          <w:b/>
        </w:rPr>
        <w:t>Odpowiedź:</w:t>
      </w:r>
    </w:p>
    <w:p w14:paraId="4DFD111B" w14:textId="52C87D0C" w:rsidR="007279F9" w:rsidRDefault="007279F9" w:rsidP="007279F9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7279F9">
        <w:rPr>
          <w:rFonts w:ascii="Open Sans" w:hAnsi="Open Sans" w:cs="Open Sans"/>
        </w:rPr>
        <w:lastRenderedPageBreak/>
        <w:t>Zamawiający dopuszcza dobór przekładników do prądu znamionowego poszczególnych pól (nie wymaga jednolitych CT 100/5 A), pod warunkiem zachowania klasy dokładności nie gorszej niż 0,5S w każdym punkcie. Dla pola RG (</w:t>
      </w:r>
      <w:proofErr w:type="spellStart"/>
      <w:r w:rsidRPr="007279F9">
        <w:rPr>
          <w:rFonts w:ascii="Open Sans" w:hAnsi="Open Sans" w:cs="Open Sans"/>
        </w:rPr>
        <w:t>Iszczyt</w:t>
      </w:r>
      <w:proofErr w:type="spellEnd"/>
      <w:r w:rsidRPr="007279F9">
        <w:rPr>
          <w:rFonts w:ascii="Open Sans" w:hAnsi="Open Sans" w:cs="Open Sans"/>
        </w:rPr>
        <w:t xml:space="preserve"> ≈ 152 A) zaleca się przekładnik dobrany do tego prądu (np. 200/5 A). Nie wskazuje się konkretnego producenta — dopuszcza wyroby równoważne</w:t>
      </w:r>
      <w:r>
        <w:rPr>
          <w:rFonts w:ascii="Open Sans" w:eastAsia="Calibri" w:hAnsi="Open Sans" w:cs="Open Sans"/>
          <w:b/>
        </w:rPr>
        <w:t>.</w:t>
      </w:r>
    </w:p>
    <w:p w14:paraId="34E2A9D1" w14:textId="00861A98" w:rsidR="007279F9" w:rsidRDefault="007279F9" w:rsidP="007279F9">
      <w:pPr>
        <w:spacing w:after="60"/>
        <w:jc w:val="both"/>
        <w:outlineLvl w:val="1"/>
        <w:rPr>
          <w:rFonts w:ascii="Open Sans" w:eastAsia="Times New Roman" w:hAnsi="Open Sans" w:cs="Open Sans"/>
        </w:rPr>
      </w:pPr>
    </w:p>
    <w:p w14:paraId="0BDF97A0" w14:textId="70722959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</w:t>
      </w:r>
      <w:r>
        <w:rPr>
          <w:rFonts w:ascii="Open Sans" w:hAnsi="Open Sans" w:cs="Open Sans"/>
          <w:b/>
        </w:rPr>
        <w:t>4</w:t>
      </w:r>
      <w:r>
        <w:rPr>
          <w:rFonts w:ascii="Open Sans" w:hAnsi="Open Sans" w:cs="Open Sans"/>
          <w:b/>
        </w:rPr>
        <w:t>:</w:t>
      </w:r>
    </w:p>
    <w:p w14:paraId="439742C5" w14:textId="77777777" w:rsidR="00654598" w:rsidRPr="00654598" w:rsidRDefault="00654598" w:rsidP="00654598">
      <w:pPr>
        <w:spacing w:after="60"/>
        <w:jc w:val="both"/>
        <w:outlineLvl w:val="1"/>
        <w:rPr>
          <w:rFonts w:ascii="Open Sans" w:hAnsi="Open Sans" w:cs="Open Sans"/>
        </w:rPr>
      </w:pPr>
      <w:r w:rsidRPr="00654598">
        <w:rPr>
          <w:rFonts w:ascii="Open Sans" w:hAnsi="Open Sans" w:cs="Open Sans"/>
        </w:rPr>
        <w:t>PUNKTY POMIAROWE — oznaczenia na E2 („WB 1-4", „WB wiata") różnią się od opisu („WT 1-4", „wjazd"). Prosimy o jednoznaczny wykaz 9 punktów; jeśli pomiar obejmuje stacje przy wiacie — trasę obwodów pomiarowych.</w:t>
      </w:r>
    </w:p>
    <w:p w14:paraId="635E9203" w14:textId="77777777" w:rsidR="00654598" w:rsidRDefault="00654598" w:rsidP="00654598">
      <w:pPr>
        <w:spacing w:after="60"/>
        <w:jc w:val="both"/>
        <w:outlineLvl w:val="1"/>
        <w:rPr>
          <w:rFonts w:ascii="Open Sans" w:hAnsi="Open Sans" w:cs="Open Sans"/>
        </w:rPr>
      </w:pPr>
      <w:r w:rsidRPr="00654598">
        <w:rPr>
          <w:rFonts w:ascii="Open Sans" w:hAnsi="Open Sans" w:cs="Open Sans"/>
          <w:b/>
        </w:rPr>
        <w:t>Odpowiedź:</w:t>
      </w:r>
      <w:r w:rsidRPr="00654598">
        <w:rPr>
          <w:rFonts w:ascii="Open Sans" w:hAnsi="Open Sans" w:cs="Open Sans"/>
        </w:rPr>
        <w:t xml:space="preserve"> </w:t>
      </w:r>
    </w:p>
    <w:p w14:paraId="775CBB7B" w14:textId="3EA1E1C1" w:rsidR="007279F9" w:rsidRDefault="00654598" w:rsidP="00654598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  <w:r w:rsidRPr="00654598">
        <w:rPr>
          <w:rFonts w:ascii="Open Sans" w:hAnsi="Open Sans" w:cs="Open Sans"/>
        </w:rPr>
        <w:t xml:space="preserve">Obowiązujący wykaz 9 punktów (analizatory centralnie w obudowie EMS na plecach RG, CT zaciskane na kablach wychodzących z pól RG): 1) pole 1 — REVD bud. D + brama; 2) pole 2; 3) pole 3 — bud. D/E; 4) pole 4; 5) pole 5 — bud. C; 6) pole 6 — ZK1 bud. B + 4 </w:t>
      </w:r>
      <w:proofErr w:type="spellStart"/>
      <w:r w:rsidRPr="00654598">
        <w:rPr>
          <w:rFonts w:ascii="Open Sans" w:hAnsi="Open Sans" w:cs="Open Sans"/>
        </w:rPr>
        <w:t>wallboxy</w:t>
      </w:r>
      <w:proofErr w:type="spellEnd"/>
      <w:r w:rsidRPr="00654598">
        <w:rPr>
          <w:rFonts w:ascii="Open Sans" w:hAnsi="Open Sans" w:cs="Open Sans"/>
        </w:rPr>
        <w:t>; 7) pole 7 — bud. A; 8) i 9) — 2× rezerwa. Oznaczenia „WB 1-4 / WB wiata" (E2) oraz „WT 1-4 / wjazd" (opis) odnoszą się do tych samych pól RG i są tożsame. Pomiar realizowany centralnie w RG — nie przewiduje się odrębnych obwodów pomiarowych do wiaty, dlatego przedmiar ich nie zawiera.</w:t>
      </w:r>
    </w:p>
    <w:p w14:paraId="31E409F0" w14:textId="77777777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</w:p>
    <w:p w14:paraId="3B9152FC" w14:textId="3E146252" w:rsidR="007279F9" w:rsidRDefault="007279F9" w:rsidP="007279F9">
      <w:pPr>
        <w:spacing w:after="0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Pytanie nr 1</w:t>
      </w:r>
      <w:r w:rsidR="00654598">
        <w:rPr>
          <w:rFonts w:ascii="Open Sans" w:hAnsi="Open Sans" w:cs="Open Sans"/>
          <w:b/>
        </w:rPr>
        <w:t>5</w:t>
      </w:r>
      <w:r>
        <w:rPr>
          <w:rFonts w:ascii="Open Sans" w:hAnsi="Open Sans" w:cs="Open Sans"/>
          <w:b/>
        </w:rPr>
        <w:t>:</w:t>
      </w:r>
    </w:p>
    <w:p w14:paraId="3FE7172E" w14:textId="77777777" w:rsidR="00654598" w:rsidRPr="00654598" w:rsidRDefault="00654598" w:rsidP="00654598">
      <w:pPr>
        <w:spacing w:after="60"/>
        <w:jc w:val="both"/>
        <w:outlineLvl w:val="1"/>
        <w:rPr>
          <w:rFonts w:ascii="Open Sans" w:hAnsi="Open Sans" w:cs="Open Sans"/>
        </w:rPr>
      </w:pPr>
      <w:r w:rsidRPr="00654598">
        <w:rPr>
          <w:rFonts w:ascii="Open Sans" w:hAnsi="Open Sans" w:cs="Open Sans"/>
        </w:rPr>
        <w:t xml:space="preserve">ROUTER LTE — dokumentacja wskazuje router LTE (TP-Link MR600 / </w:t>
      </w:r>
      <w:proofErr w:type="spellStart"/>
      <w:r w:rsidRPr="00654598">
        <w:rPr>
          <w:rFonts w:ascii="Open Sans" w:hAnsi="Open Sans" w:cs="Open Sans"/>
        </w:rPr>
        <w:t>Teltonika</w:t>
      </w:r>
      <w:proofErr w:type="spellEnd"/>
      <w:r w:rsidRPr="00654598">
        <w:rPr>
          <w:rFonts w:ascii="Open Sans" w:hAnsi="Open Sans" w:cs="Open Sans"/>
        </w:rPr>
        <w:t xml:space="preserve"> RUT241). Czy dopuszcza się router innego producenta, np. </w:t>
      </w:r>
      <w:proofErr w:type="spellStart"/>
      <w:r w:rsidRPr="00654598">
        <w:rPr>
          <w:rFonts w:ascii="Open Sans" w:hAnsi="Open Sans" w:cs="Open Sans"/>
        </w:rPr>
        <w:t>Ubiquiti</w:t>
      </w:r>
      <w:proofErr w:type="spellEnd"/>
      <w:r w:rsidRPr="00654598">
        <w:rPr>
          <w:rFonts w:ascii="Open Sans" w:hAnsi="Open Sans" w:cs="Open Sans"/>
        </w:rPr>
        <w:t xml:space="preserve"> UMR-</w:t>
      </w:r>
      <w:proofErr w:type="spellStart"/>
      <w:r w:rsidRPr="00654598">
        <w:rPr>
          <w:rFonts w:ascii="Open Sans" w:hAnsi="Open Sans" w:cs="Open Sans"/>
        </w:rPr>
        <w:t>Industrial</w:t>
      </w:r>
      <w:proofErr w:type="spellEnd"/>
      <w:r w:rsidRPr="00654598">
        <w:rPr>
          <w:rFonts w:ascii="Open Sans" w:hAnsi="Open Sans" w:cs="Open Sans"/>
        </w:rPr>
        <w:t>, jako równoważny?</w:t>
      </w:r>
    </w:p>
    <w:p w14:paraId="589899A5" w14:textId="77777777" w:rsidR="00654598" w:rsidRDefault="00654598" w:rsidP="00654598">
      <w:pPr>
        <w:spacing w:after="60"/>
        <w:jc w:val="both"/>
        <w:outlineLvl w:val="1"/>
        <w:rPr>
          <w:rFonts w:ascii="Open Sans" w:hAnsi="Open Sans" w:cs="Open Sans"/>
        </w:rPr>
      </w:pPr>
      <w:r w:rsidRPr="00654598">
        <w:rPr>
          <w:rFonts w:ascii="Open Sans" w:hAnsi="Open Sans" w:cs="Open Sans"/>
          <w:b/>
        </w:rPr>
        <w:t>Odpowiedź:</w:t>
      </w:r>
    </w:p>
    <w:p w14:paraId="397785CB" w14:textId="7534A2AC" w:rsidR="007279F9" w:rsidRDefault="00654598" w:rsidP="00654598">
      <w:pPr>
        <w:spacing w:after="60"/>
        <w:jc w:val="both"/>
        <w:outlineLvl w:val="1"/>
        <w:rPr>
          <w:rFonts w:ascii="Open Sans" w:hAnsi="Open Sans" w:cs="Open Sans"/>
        </w:rPr>
      </w:pPr>
      <w:r w:rsidRPr="00654598">
        <w:rPr>
          <w:rFonts w:ascii="Open Sans" w:hAnsi="Open Sans" w:cs="Open Sans"/>
        </w:rPr>
        <w:t xml:space="preserve">Zamawiający dopuszcza router LTE dowolnego producenta (w tym </w:t>
      </w:r>
      <w:proofErr w:type="spellStart"/>
      <w:r w:rsidRPr="00654598">
        <w:rPr>
          <w:rFonts w:ascii="Open Sans" w:hAnsi="Open Sans" w:cs="Open Sans"/>
        </w:rPr>
        <w:t>Ubiquiti</w:t>
      </w:r>
      <w:proofErr w:type="spellEnd"/>
      <w:r w:rsidRPr="00654598">
        <w:rPr>
          <w:rFonts w:ascii="Open Sans" w:hAnsi="Open Sans" w:cs="Open Sans"/>
        </w:rPr>
        <w:t xml:space="preserve"> UMR-</w:t>
      </w:r>
      <w:proofErr w:type="spellStart"/>
      <w:r w:rsidRPr="00654598">
        <w:rPr>
          <w:rFonts w:ascii="Open Sans" w:hAnsi="Open Sans" w:cs="Open Sans"/>
        </w:rPr>
        <w:t>Industrial</w:t>
      </w:r>
      <w:proofErr w:type="spellEnd"/>
      <w:r w:rsidRPr="00654598">
        <w:rPr>
          <w:rFonts w:ascii="Open Sans" w:hAnsi="Open Sans" w:cs="Open Sans"/>
        </w:rPr>
        <w:t xml:space="preserve">, </w:t>
      </w:r>
      <w:proofErr w:type="spellStart"/>
      <w:r w:rsidRPr="00654598">
        <w:rPr>
          <w:rFonts w:ascii="Open Sans" w:hAnsi="Open Sans" w:cs="Open Sans"/>
        </w:rPr>
        <w:t>Teltonika</w:t>
      </w:r>
      <w:proofErr w:type="spellEnd"/>
      <w:r w:rsidRPr="00654598">
        <w:rPr>
          <w:rFonts w:ascii="Open Sans" w:hAnsi="Open Sans" w:cs="Open Sans"/>
        </w:rPr>
        <w:t xml:space="preserve"> i in.) jako rozwiązanie równoważne, przy zachowaniu funkcjonalności: transmisja danych LTE z kartą SIM M2M, redundantne łącze dla zdalnego dostępu, powiadomień i aktualizacji</w:t>
      </w:r>
      <w:r>
        <w:rPr>
          <w:rFonts w:ascii="Open Sans" w:hAnsi="Open Sans" w:cs="Open Sans"/>
        </w:rPr>
        <w:t>.</w:t>
      </w:r>
    </w:p>
    <w:p w14:paraId="7F51A99A" w14:textId="77777777" w:rsidR="00654598" w:rsidRDefault="00654598" w:rsidP="00654598">
      <w:pPr>
        <w:spacing w:after="60"/>
        <w:jc w:val="both"/>
        <w:outlineLvl w:val="1"/>
        <w:rPr>
          <w:rFonts w:ascii="Open Sans" w:eastAsia="Calibri" w:hAnsi="Open Sans" w:cs="Open Sans"/>
          <w:b/>
        </w:rPr>
      </w:pPr>
    </w:p>
    <w:p w14:paraId="14E2B272" w14:textId="77777777" w:rsidR="00654598" w:rsidRPr="00654598" w:rsidRDefault="00654598" w:rsidP="00654598">
      <w:pPr>
        <w:spacing w:after="60"/>
        <w:jc w:val="both"/>
        <w:outlineLvl w:val="1"/>
        <w:rPr>
          <w:rFonts w:ascii="Open Sans" w:eastAsia="Times New Roman" w:hAnsi="Open Sans" w:cs="Open Sans"/>
          <w:b/>
        </w:rPr>
      </w:pPr>
      <w:r w:rsidRPr="00654598">
        <w:rPr>
          <w:rFonts w:ascii="Open Sans" w:eastAsia="Times New Roman" w:hAnsi="Open Sans" w:cs="Open Sans"/>
          <w:b/>
        </w:rPr>
        <w:t>Uwaga ogólna — równoważność i neutralność technologiczna</w:t>
      </w:r>
    </w:p>
    <w:p w14:paraId="33B6EE45" w14:textId="57E487A5" w:rsidR="007279F9" w:rsidRDefault="00654598" w:rsidP="00654598">
      <w:pPr>
        <w:spacing w:after="60"/>
        <w:jc w:val="both"/>
        <w:outlineLvl w:val="1"/>
        <w:rPr>
          <w:rFonts w:ascii="Open Sans" w:eastAsia="Times New Roman" w:hAnsi="Open Sans" w:cs="Open Sans"/>
        </w:rPr>
      </w:pPr>
      <w:r w:rsidRPr="00654598">
        <w:rPr>
          <w:rFonts w:ascii="Open Sans" w:eastAsia="Times New Roman" w:hAnsi="Open Sans" w:cs="Open Sans"/>
        </w:rPr>
        <w:t xml:space="preserve">Odpowiedź: Wszystkie wskazania konkretnych producentów, marek i kodów katalogowych w dokumentacji (w tym nazwy własne systemu sterowania) mają charakter wyłącznie referencyjny i należy je czytać z dopiskiem „lub równoważny". Dopuszcza się realizację systemu EMS w oparciu o dowolny sterownik/ekosystem automatyki (np. </w:t>
      </w:r>
      <w:proofErr w:type="spellStart"/>
      <w:r w:rsidRPr="00654598">
        <w:rPr>
          <w:rFonts w:ascii="Open Sans" w:eastAsia="Times New Roman" w:hAnsi="Open Sans" w:cs="Open Sans"/>
        </w:rPr>
        <w:lastRenderedPageBreak/>
        <w:t>Loxone</w:t>
      </w:r>
      <w:proofErr w:type="spellEnd"/>
      <w:r w:rsidRPr="00654598">
        <w:rPr>
          <w:rFonts w:ascii="Open Sans" w:eastAsia="Times New Roman" w:hAnsi="Open Sans" w:cs="Open Sans"/>
        </w:rPr>
        <w:t>, KNX, Siemens, WAGO lub równoważny), pod warunkiem spełnienia wszystkich parametrów OPZ: dynamiczne ograniczenie mocy obiektu do 100 kW, cykl sterujący ≤ 1 s, limity per łańcuch ≤ 65 kW, sterowanie prądem stacji 6–16 A, aplikacja mobilna i interfejs Web, wizualizacja na monitorze, pomiar w 9 punktach klasą ≥ 0,5. Zamawiający dokona korekty projektu wykonawczego i OPZ w tym zakresie (zastąpienie nazw własnych opisem parametrów równoważności).</w:t>
      </w:r>
    </w:p>
    <w:p w14:paraId="790946C4" w14:textId="77777777" w:rsidR="007279F9" w:rsidRDefault="007279F9" w:rsidP="007279F9">
      <w:pPr>
        <w:spacing w:after="60"/>
        <w:jc w:val="both"/>
        <w:outlineLvl w:val="1"/>
        <w:rPr>
          <w:rFonts w:ascii="Open Sans" w:eastAsia="Times New Roman" w:hAnsi="Open Sans" w:cs="Open Sans"/>
        </w:rPr>
      </w:pPr>
    </w:p>
    <w:p w14:paraId="4606EAD8" w14:textId="05F215D3" w:rsidR="0016658B" w:rsidRDefault="0016658B" w:rsidP="004012A1">
      <w:pPr>
        <w:spacing w:after="60"/>
        <w:jc w:val="both"/>
        <w:outlineLvl w:val="1"/>
      </w:pPr>
      <w:r>
        <w:rPr>
          <w:rFonts w:ascii="Open Sans" w:eastAsia="Times New Roman" w:hAnsi="Open Sans" w:cs="Open Sans"/>
        </w:rPr>
        <w:t>Powyższe należy uwzględnić składa</w:t>
      </w:r>
      <w:bookmarkStart w:id="2" w:name="_GoBack"/>
      <w:bookmarkEnd w:id="2"/>
      <w:r>
        <w:rPr>
          <w:rFonts w:ascii="Open Sans" w:eastAsia="Times New Roman" w:hAnsi="Open Sans" w:cs="Open Sans"/>
        </w:rPr>
        <w:t>jąc ofertę</w:t>
      </w:r>
    </w:p>
    <w:sectPr w:rsidR="0016658B" w:rsidSect="004012A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72F10" w14:textId="77777777" w:rsidR="0016658B" w:rsidRDefault="0016658B" w:rsidP="0016658B">
      <w:pPr>
        <w:spacing w:after="0" w:line="240" w:lineRule="auto"/>
      </w:pPr>
      <w:r>
        <w:separator/>
      </w:r>
    </w:p>
  </w:endnote>
  <w:endnote w:type="continuationSeparator" w:id="0">
    <w:p w14:paraId="22087F1C" w14:textId="77777777" w:rsidR="0016658B" w:rsidRDefault="0016658B" w:rsidP="0016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1CA2A" w14:textId="77777777" w:rsidR="0016658B" w:rsidRDefault="0016658B" w:rsidP="0016658B">
      <w:pPr>
        <w:spacing w:after="0" w:line="240" w:lineRule="auto"/>
      </w:pPr>
      <w:r>
        <w:separator/>
      </w:r>
    </w:p>
  </w:footnote>
  <w:footnote w:type="continuationSeparator" w:id="0">
    <w:p w14:paraId="6AB25FD2" w14:textId="77777777" w:rsidR="0016658B" w:rsidRDefault="0016658B" w:rsidP="00166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05CE" w14:textId="34065BE5" w:rsidR="0016658B" w:rsidRDefault="0016658B" w:rsidP="0016658B">
    <w:pPr>
      <w:pStyle w:val="Standard"/>
      <w:spacing w:line="276" w:lineRule="auto"/>
      <w:jc w:val="right"/>
      <w:rPr>
        <w:rFonts w:ascii="Open Sans" w:hAnsi="Open Sans" w:cs="Open Sans"/>
        <w:sz w:val="20"/>
        <w:szCs w:val="20"/>
      </w:rPr>
    </w:pPr>
  </w:p>
  <w:p w14:paraId="51C96C27" w14:textId="77777777" w:rsidR="0016658B" w:rsidRDefault="0016658B" w:rsidP="0016658B">
    <w:pPr>
      <w:pStyle w:val="Standard"/>
      <w:spacing w:line="276" w:lineRule="auto"/>
      <w:jc w:val="right"/>
      <w:rPr>
        <w:rFonts w:ascii="Open Sans" w:hAnsi="Open Sans" w:cs="Open Sans"/>
        <w:sz w:val="20"/>
        <w:szCs w:val="20"/>
      </w:rPr>
    </w:pPr>
  </w:p>
  <w:p w14:paraId="3746F67A" w14:textId="0B6B3A30" w:rsidR="0016658B" w:rsidRDefault="007F7081" w:rsidP="007F7081">
    <w:pPr>
      <w:pStyle w:val="Standard"/>
      <w:spacing w:line="276" w:lineRule="auto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  <w:sz w:val="20"/>
        <w:szCs w:val="20"/>
      </w:rPr>
      <w:drawing>
        <wp:inline distT="0" distB="0" distL="0" distR="0" wp14:anchorId="730039BA" wp14:editId="3D15E126">
          <wp:extent cx="2818765" cy="7620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6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CFA416" w14:textId="0F565BB1" w:rsidR="0016658B" w:rsidRPr="00211B84" w:rsidRDefault="0016658B" w:rsidP="0016658B">
    <w:pPr>
      <w:pStyle w:val="Standard"/>
      <w:spacing w:line="276" w:lineRule="auto"/>
      <w:jc w:val="right"/>
      <w:rPr>
        <w:rFonts w:ascii="Open Sans" w:hAnsi="Open Sans" w:cs="Open Sans"/>
        <w:sz w:val="20"/>
        <w:szCs w:val="20"/>
      </w:rPr>
    </w:pPr>
    <w:r w:rsidRPr="00211B84">
      <w:rPr>
        <w:rFonts w:ascii="Open Sans" w:hAnsi="Open Sans" w:cs="Open Sans"/>
        <w:sz w:val="20"/>
        <w:szCs w:val="20"/>
      </w:rPr>
      <w:t xml:space="preserve">Gdańsk </w:t>
    </w:r>
    <w:r w:rsidR="007279F9">
      <w:rPr>
        <w:rFonts w:ascii="Open Sans" w:hAnsi="Open Sans" w:cs="Open Sans"/>
        <w:sz w:val="20"/>
        <w:szCs w:val="20"/>
      </w:rPr>
      <w:t>25</w:t>
    </w:r>
    <w:r>
      <w:rPr>
        <w:rFonts w:ascii="Open Sans" w:hAnsi="Open Sans" w:cs="Open Sans"/>
        <w:sz w:val="20"/>
        <w:szCs w:val="20"/>
      </w:rPr>
      <w:t>.</w:t>
    </w:r>
    <w:r w:rsidR="00895D9A">
      <w:rPr>
        <w:rFonts w:ascii="Open Sans" w:hAnsi="Open Sans" w:cs="Open Sans"/>
        <w:sz w:val="20"/>
        <w:szCs w:val="20"/>
      </w:rPr>
      <w:t>0</w:t>
    </w:r>
    <w:r w:rsidR="007279F9">
      <w:rPr>
        <w:rFonts w:ascii="Open Sans" w:hAnsi="Open Sans" w:cs="Open Sans"/>
        <w:sz w:val="20"/>
        <w:szCs w:val="20"/>
      </w:rPr>
      <w:t>6</w:t>
    </w:r>
    <w:r w:rsidRPr="00211B84">
      <w:rPr>
        <w:rFonts w:ascii="Open Sans" w:hAnsi="Open Sans" w:cs="Open Sans"/>
        <w:sz w:val="20"/>
        <w:szCs w:val="20"/>
      </w:rPr>
      <w:t>.202</w:t>
    </w:r>
    <w:r w:rsidR="006702B1">
      <w:rPr>
        <w:rFonts w:ascii="Open Sans" w:hAnsi="Open Sans" w:cs="Open Sans"/>
        <w:sz w:val="20"/>
        <w:szCs w:val="20"/>
      </w:rPr>
      <w:t>6</w:t>
    </w:r>
    <w:r w:rsidRPr="00211B84">
      <w:rPr>
        <w:rFonts w:ascii="Open Sans" w:hAnsi="Open Sans" w:cs="Open Sans"/>
        <w:sz w:val="20"/>
        <w:szCs w:val="20"/>
      </w:rPr>
      <w:t>r.</w:t>
    </w:r>
  </w:p>
  <w:p w14:paraId="0CD6D88E" w14:textId="77777777" w:rsidR="0016658B" w:rsidRDefault="001665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FB0122E-2135-4FE9-A017-A85339DDAA54}"/>
  </w:docVars>
  <w:rsids>
    <w:rsidRoot w:val="0016658B"/>
    <w:rsid w:val="00083147"/>
    <w:rsid w:val="0016658B"/>
    <w:rsid w:val="001711FD"/>
    <w:rsid w:val="001D4F61"/>
    <w:rsid w:val="00392443"/>
    <w:rsid w:val="003A4B8F"/>
    <w:rsid w:val="004012A1"/>
    <w:rsid w:val="00425AA5"/>
    <w:rsid w:val="00431A8E"/>
    <w:rsid w:val="00560B61"/>
    <w:rsid w:val="00654598"/>
    <w:rsid w:val="006702B1"/>
    <w:rsid w:val="007279F9"/>
    <w:rsid w:val="007F7081"/>
    <w:rsid w:val="00895D9A"/>
    <w:rsid w:val="00960D2F"/>
    <w:rsid w:val="00A0515C"/>
    <w:rsid w:val="00DC03C8"/>
    <w:rsid w:val="00E9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ACFD60"/>
  <w15:chartTrackingRefBased/>
  <w15:docId w15:val="{D195C630-3916-42EB-83FB-FE3A5C4C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79F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locked/>
    <w:rsid w:val="0016658B"/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unhideWhenUsed/>
    <w:rsid w:val="001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16658B"/>
  </w:style>
  <w:style w:type="paragraph" w:customStyle="1" w:styleId="Default">
    <w:name w:val="Default"/>
    <w:rsid w:val="00166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58B"/>
  </w:style>
  <w:style w:type="paragraph" w:customStyle="1" w:styleId="Standard">
    <w:name w:val="Standard"/>
    <w:rsid w:val="0016658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895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0122E-2135-4FE9-A017-A85339DDAA5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3E87982-5AA7-40C9-AEEA-BD564D74276B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b354825f-0999-49da-9ce1-353349aabe11"/>
    <ds:schemaRef ds:uri="http://schemas.openxmlformats.org/package/2006/metadata/core-properties"/>
    <ds:schemaRef ds:uri="http://schemas.microsoft.com/office/2006/documentManagement/types"/>
    <ds:schemaRef ds:uri="f4b86557-b6b9-4d61-aca3-5956646c4a8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422C0A-BAE2-4D02-942C-35F68F3F6E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C83B8-E615-4A0B-A29A-A4FB48768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Chmielowiec Dorota</dc:creator>
  <cp:keywords/>
  <dc:description/>
  <cp:lastModifiedBy>Chmielowiec Dorota</cp:lastModifiedBy>
  <cp:revision>15</cp:revision>
  <dcterms:created xsi:type="dcterms:W3CDTF">2022-09-28T12:31:00Z</dcterms:created>
  <dcterms:modified xsi:type="dcterms:W3CDTF">2026-06-25T10:55:00Z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</Properties>
</file>