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Uchwała Nr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XI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29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Rady Dzielnicy Młyniska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z dnia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stycznia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 roku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w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sprawie wniosku o dokonanie podziału geodezyjnego i wydzielenia koncepcyjnego części działki nr 330/68 obręb 058 w celu umożliwienia remontów infrastruktury publicznej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podstawie §5 ust. 1 pkt </w:t>
      </w:r>
      <w:r w:rsidDel="00000000" w:rsidR="00000000" w:rsidRPr="00000000">
        <w:rPr>
          <w:rtl w:val="0"/>
        </w:rPr>
        <w:t xml:space="preserve">2 oraz §6 pkt 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Statutu Dzielnicy Młyniska </w:t>
      </w:r>
      <w:r w:rsidDel="00000000" w:rsidR="00000000" w:rsidRPr="00000000">
        <w:rPr>
          <w:rtl w:val="0"/>
        </w:rPr>
        <w:t xml:space="preserve">Nr LII/1167/14 Rady Miasta Gdańska z dnia 24 kwietnia 2014 r. w sprawie uchwalenia Statutu Dzielnicy Młyniska (Dz. Urz. Woj. Pom. z 2014 r. poz. 1952, zm.: poz. 3444, z 2015 r. poz. 641 i 688, z 2017 r. poz. 2026, z 2023 r. poz. 3113)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Uchwala się, co następuje: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§ 1.</w:t>
      </w:r>
      <w:r w:rsidDel="00000000" w:rsidR="00000000" w:rsidRPr="00000000">
        <w:rPr>
          <w:rtl w:val="0"/>
        </w:rPr>
        <w:t xml:space="preserve"> Wnioskuje się do Prezydenta Miasta Gdańska o niezwłoczne przystąpienie do prac geodezyjno-projektowych mających na celu </w:t>
      </w:r>
      <w:r w:rsidDel="00000000" w:rsidR="00000000" w:rsidRPr="00000000">
        <w:rPr>
          <w:b w:val="1"/>
          <w:bCs w:val="1"/>
          <w:rtl w:val="0"/>
        </w:rPr>
        <w:t xml:space="preserve">podział działki gminnej nr 330/68 obręb 058</w:t>
      </w:r>
      <w:r w:rsidDel="00000000" w:rsidR="00000000" w:rsidRPr="00000000">
        <w:rPr>
          <w:rtl w:val="0"/>
        </w:rPr>
        <w:t xml:space="preserve"> w taki sposób, aby: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wydzielić mniejszą część gruntu bezpośrednio przylegającą do sklepów i pawilonów usługowych, stanowiącą przedmiot potencjalnych roszczeń z art. 209a ustawy o gospodarce nieruchomościami,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wyodrębnić pozostałą, większą część nieruchomości (obejmującą ciągi piesze, chodniki i tereny zielone) jako teren wolny od obciążeń i roszczeń, przeznaczony do ogólnodostępnego użytku publicznego.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rPr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2.</w:t>
      </w:r>
      <w:r w:rsidDel="00000000" w:rsidR="00000000" w:rsidRPr="00000000">
        <w:rPr>
          <w:color w:val="2d2d2d"/>
          <w:rtl w:val="0"/>
        </w:rPr>
        <w:t xml:space="preserve"> Rada Dzielnicy wnosi, aby po dokonaniu powyższego wydzielenia, właściwe służby miejskie (Gdański Zarząd Dróg, Gdański Zarząd Zieleni) uwzględniły uwolniony fragment terenu w planach remontowych i budżetowych, w szczególności w zakresie wymiany nawierzchni chodników oraz bieżącego utrzymania trawników.</w:t>
      </w:r>
    </w:p>
    <w:p w:rsidR="00000000" w:rsidDel="00000000" w:rsidP="00000000" w:rsidRDefault="00000000" w:rsidRPr="00000000" w14:paraId="00000010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rPr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3.</w:t>
      </w:r>
      <w:r w:rsidDel="00000000" w:rsidR="00000000" w:rsidRPr="00000000">
        <w:rPr>
          <w:color w:val="2d2d2d"/>
          <w:rtl w:val="0"/>
        </w:rPr>
        <w:t xml:space="preserve"> Uchwała ma na celu zakończenie stanu paraliżu inwestycyjnego, w którym cała nieruchomość pozostaje zaniedbana z uwagi na nieuregulowany status prawny niewielkiej części gruntu przylegającej do prywatnych obiektów handlowych.</w:t>
      </w:r>
    </w:p>
    <w:p w:rsidR="00000000" w:rsidDel="00000000" w:rsidP="00000000" w:rsidRDefault="00000000" w:rsidRPr="00000000" w14:paraId="00000011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rPr>
          <w:color w:val="2d2d2d"/>
        </w:rPr>
      </w:pPr>
      <w:r w:rsidDel="00000000" w:rsidR="00000000" w:rsidRPr="00000000">
        <w:rPr>
          <w:b w:val="1"/>
          <w:bCs w:val="1"/>
          <w:color w:val="2d2d2d"/>
          <w:rtl w:val="0"/>
        </w:rPr>
        <w:t xml:space="preserve">§ 4.</w:t>
      </w:r>
      <w:r w:rsidDel="00000000" w:rsidR="00000000" w:rsidRPr="00000000">
        <w:rPr>
          <w:color w:val="2d2d2d"/>
          <w:rtl w:val="0"/>
        </w:rPr>
        <w:t xml:space="preserve"> Uchwała wchodzi w życie z dniem podjęcia.</w:t>
      </w:r>
    </w:p>
    <w:p w:rsidR="00000000" w:rsidDel="00000000" w:rsidP="00000000" w:rsidRDefault="00000000" w:rsidRPr="00000000" w14:paraId="00000012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rPr>
          <w:color w:val="2d2d2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rPr>
          <w:color w:val="2d2d2d"/>
          <w:sz w:val="24"/>
          <w:szCs w:val="24"/>
        </w:rPr>
      </w:pPr>
      <w:bookmarkStart w:colFirst="0" w:colLast="0" w:name="_heading=h.r0doej8yfdae" w:id="0"/>
      <w:bookmarkEnd w:id="0"/>
      <w:r w:rsidDel="00000000" w:rsidR="00000000" w:rsidRPr="00000000">
        <w:rPr>
          <w:color w:val="2d2d2d"/>
          <w:sz w:val="24"/>
          <w:szCs w:val="24"/>
          <w:rtl w:val="0"/>
        </w:rPr>
        <w:t xml:space="preserve">Uzasadnienie</w:t>
      </w:r>
    </w:p>
    <w:p w:rsidR="00000000" w:rsidDel="00000000" w:rsidP="00000000" w:rsidRDefault="00000000" w:rsidRPr="00000000" w14:paraId="00000014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Obecna sytuacja prawna działki nr 330/68 obręb 058 uniemożliwia prowadzenie jakichkolwiek prac remontowych i modernizacyjnych przez służby miejskie. Powodem jest fakt, że cała działka figuruje jako teren potencjalnie objęty roszczeniami właścicieli przyległych sklepów i pawilonów usługowych na podstawie art. 209a u.g.n.</w:t>
      </w:r>
    </w:p>
    <w:p w:rsidR="00000000" w:rsidDel="00000000" w:rsidP="00000000" w:rsidRDefault="00000000" w:rsidRPr="00000000" w14:paraId="00000015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W praktyce prowadzi to do degradacji infrastruktury publicznej, z której korzystają tysiące mieszkańców, oraz stoczniowców i innych pracowników. Chodniki nie były remontowane od czasu powstania, a trawniki nie są poddawane systematycznej pielęgnacji, ponieważ jednostki miejskie wstrzymują nakłady finansowe na gruntach o niepewnym statusie prawnym.</w:t>
      </w:r>
    </w:p>
    <w:p w:rsidR="00000000" w:rsidDel="00000000" w:rsidP="00000000" w:rsidRDefault="00000000" w:rsidRPr="00000000" w14:paraId="00000016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Należy podkreślić, że: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afterAutospacing="0" w:before="240" w:lineRule="auto"/>
        <w:ind w:left="720" w:hanging="360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Większość terenu tej działki (chodniki, zieleń niska) nie jest niezbędna do racjonalnego korzystania z pawilonów handlowych, a zatem roszczenie z art. 209a w ogóle nie powinno ich dotyczyć.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0" w:beforeAutospacing="0" w:lineRule="auto"/>
        <w:ind w:left="720" w:hanging="360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Brak wydzielenia koncepcyjnego powoduje, że zakładnikiem roszczeń kilku prywatnych podmiotów staje się cała przestrzeń publiczna w tym kwartale.</w:t>
      </w:r>
    </w:p>
    <w:p w:rsidR="00000000" w:rsidDel="00000000" w:rsidP="00000000" w:rsidRDefault="00000000" w:rsidRPr="00000000" w14:paraId="00000019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240" w:before="240" w:lineRule="auto"/>
        <w:rPr>
          <w:color w:val="2d2d2d"/>
        </w:rPr>
      </w:pPr>
      <w:r w:rsidDel="00000000" w:rsidR="00000000" w:rsidRPr="00000000">
        <w:rPr>
          <w:color w:val="2d2d2d"/>
          <w:rtl w:val="0"/>
        </w:rPr>
        <w:t xml:space="preserve">Poprzez podział geodezyjny (wydzielenie części roszczeniowej), Gmina Miasto Gdańsk odzyska pełną swobodę dysponowania głównym traktem pieszym i terenami zielonymi, co pozwoli na ich pilny remont i przywrócenie estetyki zgodnej z oczekiwaniami mieszkańców.</w:t>
      </w:r>
    </w:p>
    <w:p w:rsidR="00000000" w:rsidDel="00000000" w:rsidP="00000000" w:rsidRDefault="00000000" w:rsidRPr="00000000" w14:paraId="0000001A">
      <w:pPr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3500445</wp:posOffset>
            </wp:positionH>
            <wp:positionV relativeFrom="paragraph">
              <wp:posOffset>194294</wp:posOffset>
            </wp:positionV>
            <wp:extent cx="2600325" cy="590550"/>
            <wp:effectExtent b="0" l="0" r="0" t="0"/>
            <wp:wrapTopAndBottom distB="114300" distT="11430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  <w:rtl w:val="0"/>
        </w:rPr>
        <w:t xml:space="preserve">Tomasz Larczyński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0"/>
          <w:tab w:val="left" w:leader="none" w:pos="1120"/>
          <w:tab w:val="left" w:leader="none" w:pos="1680"/>
          <w:tab w:val="left" w:leader="none" w:pos="2240"/>
          <w:tab w:val="left" w:leader="none" w:pos="2800"/>
          <w:tab w:val="left" w:leader="none" w:pos="3360"/>
          <w:tab w:val="left" w:leader="none" w:pos="3920"/>
          <w:tab w:val="left" w:leader="none" w:pos="4480"/>
          <w:tab w:val="left" w:leader="none" w:pos="5040"/>
          <w:tab w:val="left" w:leader="none" w:pos="5600"/>
          <w:tab w:val="left" w:leader="none" w:pos="6160"/>
          <w:tab w:val="left" w:leader="none" w:pos="6720"/>
          <w:tab w:val="left" w:leader="none" w:pos="6740"/>
          <w:tab w:val="left" w:leader="none" w:pos="6760"/>
          <w:tab w:val="left" w:leader="none" w:pos="6780"/>
          <w:tab w:val="left" w:leader="none" w:pos="6800"/>
          <w:tab w:val="left" w:leader="none" w:pos="6820"/>
          <w:tab w:val="left" w:leader="none" w:pos="6840"/>
          <w:tab w:val="left" w:leader="none" w:pos="6860"/>
          <w:tab w:val="left" w:leader="none" w:pos="6880"/>
          <w:tab w:val="left" w:leader="none" w:pos="6900"/>
          <w:tab w:val="left" w:leader="none" w:pos="6920"/>
          <w:tab w:val="left" w:leader="none" w:pos="6940"/>
          <w:tab w:val="left" w:leader="none" w:pos="6960"/>
          <w:tab w:val="left" w:leader="none" w:pos="6980"/>
          <w:tab w:val="left" w:leader="none" w:pos="7000"/>
          <w:tab w:val="left" w:leader="none" w:pos="7020"/>
          <w:tab w:val="left" w:leader="none" w:pos="7040"/>
          <w:tab w:val="left" w:leader="none" w:pos="7060"/>
          <w:tab w:val="left" w:leader="none" w:pos="7080"/>
          <w:tab w:val="left" w:leader="none" w:pos="7100"/>
          <w:tab w:val="left" w:leader="none" w:pos="7120"/>
          <w:tab w:val="left" w:leader="none" w:pos="7140"/>
          <w:tab w:val="left" w:leader="none" w:pos="7160"/>
          <w:tab w:val="left" w:leader="none" w:pos="7180"/>
          <w:tab w:val="left" w:leader="none" w:pos="7200"/>
          <w:tab w:val="left" w:leader="none" w:pos="7220"/>
          <w:tab w:val="left" w:leader="none" w:pos="7240"/>
          <w:tab w:val="left" w:leader="none" w:pos="7260"/>
          <w:tab w:val="left" w:leader="none" w:pos="7280"/>
          <w:tab w:val="left" w:leader="none" w:pos="7300"/>
          <w:tab w:val="left" w:leader="none" w:pos="7320"/>
          <w:tab w:val="left" w:leader="none" w:pos="7340"/>
          <w:tab w:val="left" w:leader="none" w:pos="7360"/>
          <w:tab w:val="left" w:leader="none" w:pos="7380"/>
          <w:tab w:val="left" w:leader="none" w:pos="7400"/>
          <w:tab w:val="left" w:leader="none" w:pos="7420"/>
          <w:tab w:val="left" w:leader="none" w:pos="7440"/>
          <w:tab w:val="left" w:leader="none" w:pos="7460"/>
          <w:tab w:val="left" w:leader="none" w:pos="7480"/>
          <w:tab w:val="left" w:leader="none" w:pos="7500"/>
          <w:tab w:val="left" w:leader="none" w:pos="7520"/>
          <w:tab w:val="left" w:leader="none" w:pos="7540"/>
          <w:tab w:val="left" w:leader="none" w:pos="7560"/>
          <w:tab w:val="left" w:leader="none" w:pos="7580"/>
          <w:tab w:val="left" w:leader="none" w:pos="7600"/>
          <w:tab w:val="left" w:leader="none" w:pos="7620"/>
          <w:tab w:val="left" w:leader="none" w:pos="7640"/>
          <w:tab w:val="left" w:leader="none" w:pos="7660"/>
          <w:tab w:val="left" w:leader="none" w:pos="7680"/>
          <w:tab w:val="left" w:leader="none" w:pos="7700"/>
          <w:tab w:val="left" w:leader="none" w:pos="7720"/>
          <w:tab w:val="left" w:leader="none" w:pos="7740"/>
          <w:tab w:val="left" w:leader="none" w:pos="7760"/>
        </w:tabs>
        <w:spacing w:after="0" w:before="0" w:line="240" w:lineRule="auto"/>
        <w:ind w:left="0" w:right="0" w:firstLine="0"/>
        <w:jc w:val="righ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2d2d2d"/>
          <w:sz w:val="24"/>
          <w:szCs w:val="24"/>
          <w:u w:val="none"/>
          <w:shd w:fill="auto" w:val="clear"/>
          <w:vertAlign w:val="baseline"/>
          <w:rtl w:val="0"/>
        </w:rPr>
        <w:t xml:space="preserve">Przewodniczący Rady Dzielnicy Młyniska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d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color="auto" w:fill="auto" w:val="clear"/>
      <w:tabs>
        <w:tab w:val="right" w:pos="9020"/>
      </w:tabs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160" w:line="288" w:lineRule="auto"/>
      <w:ind w:left="0" w:right="0" w:firstLine="0"/>
      <w:jc w:val="left"/>
      <w:outlineLvl w:val="9"/>
    </w:pPr>
    <w:rPr>
      <w:rFonts w:ascii="Helvetica Neue" w:cs="Arial Unicode MS" w:eastAsia="Arial Unicode MS" w:hAnsi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color="000000" w:val="none"/>
      <w:shd w:color="auto" w:fill="auto" w:val="nil"/>
      <w:vertAlign w:val="baseline"/>
      <w:lang w:val="de-DE"/>
      <w14:textFill>
        <w14:solidFill>
          <w14:srgbClr w14:val="000000"/>
        </w14:solidFill>
      </w14:textFill>
      <w14:textOutline w14:cap="flat" w14:w="12700">
        <w14:noFill/>
        <w14:miter w14:lim="400000"/>
      </w14:textOutline>
    </w:rPr>
  </w:style>
  <w:style w:type="numbering" w:styleId="Numery">
    <w:name w:val="Numery"/>
    <w:pPr>
      <w:numPr>
        <w:numId w:val="1"/>
      </w:numPr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3Vr8fElAJ3PVB/fYjcMMFgjmhw==">CgMxLjAyDmgucjBkb2VqOHlmZGFlOAByITFjX1NMemVOVU11ckFNcmNNOHJRNG4xQmtIZmxFRWRhRg==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