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b/>
          <w:b/>
          <w:bCs/>
          <w:sz w:val="24"/>
          <w:szCs w:val="24"/>
          <w:u w:val="none" w:color="000000"/>
        </w:rPr>
      </w:pPr>
      <w:bookmarkStart w:id="0" w:name="_Hlk41241115"/>
      <w:bookmarkEnd w:id="0"/>
      <w:r>
        <w:rPr>
          <w:rFonts w:ascii="Trebuchet MS" w:hAnsi="Trebuchet MS"/>
          <w:b/>
          <w:bCs/>
          <w:sz w:val="24"/>
          <w:szCs w:val="24"/>
          <w:u w:val="none" w:color="000000"/>
          <w:lang w:val="de-DE"/>
        </w:rPr>
        <w:t>Uchwała nr XIV/ 40 /2020</w:t>
      </w:r>
      <w:r>
        <w:rPr>
          <w:rFonts w:eastAsia="Trebuchet MS" w:cs="Trebuchet MS" w:ascii="Trebuchet MS" w:hAnsi="Trebuchet MS"/>
          <w:b/>
          <w:bCs/>
          <w:sz w:val="24"/>
          <w:szCs w:val="24"/>
          <w:u w:val="none" w:color="000000"/>
          <w:lang w:val="de-DE"/>
        </w:rPr>
        <w:br/>
      </w:r>
      <w:r>
        <w:rPr>
          <w:rFonts w:ascii="Trebuchet MS" w:hAnsi="Trebuchet MS"/>
          <w:b/>
          <w:bCs/>
          <w:sz w:val="24"/>
          <w:szCs w:val="24"/>
          <w:u w:val="none" w:color="000000"/>
          <w:lang w:val="de-DE"/>
        </w:rPr>
        <w:t>Rady Dzielnicy Orunia G</w:t>
      </w:r>
      <w:r>
        <w:rPr>
          <w:rFonts w:ascii="Trebuchet MS" w:hAnsi="Trebuchet MS"/>
          <w:b/>
          <w:bCs/>
          <w:sz w:val="24"/>
          <w:szCs w:val="24"/>
          <w:u w:val="none" w:color="000000"/>
          <w:lang w:val="es-ES_tradnl"/>
        </w:rPr>
        <w:t>ó</w:t>
      </w:r>
      <w:r>
        <w:rPr>
          <w:rFonts w:ascii="Trebuchet MS" w:hAnsi="Trebuchet MS"/>
          <w:b/>
          <w:bCs/>
          <w:sz w:val="24"/>
          <w:szCs w:val="24"/>
          <w:u w:val="none" w:color="000000"/>
          <w:lang w:val="de-DE"/>
        </w:rPr>
        <w:t>rna - Gdańsk Południe </w:t>
        <w:br/>
        <w:t xml:space="preserve">z dnia 29 września 2020 roku  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  <w:bookmarkStart w:id="1" w:name="_Hlk41241115"/>
      <w:bookmarkStart w:id="2" w:name="_Hlk41241115"/>
      <w:bookmarkEnd w:id="2"/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b/>
          <w:b/>
          <w:bCs/>
          <w:sz w:val="24"/>
          <w:szCs w:val="24"/>
          <w:u w:val="none" w:color="000000"/>
          <w:lang w:val="de-DE"/>
        </w:rPr>
      </w:pPr>
      <w:bookmarkStart w:id="3" w:name="_Hlk41240482"/>
      <w:bookmarkEnd w:id="3"/>
      <w:r>
        <w:rPr>
          <w:rFonts w:ascii="Trebuchet MS" w:hAnsi="Trebuchet MS"/>
          <w:b/>
          <w:bCs/>
          <w:sz w:val="24"/>
          <w:szCs w:val="24"/>
          <w:u w:val="none" w:color="000000"/>
          <w:lang w:val="de-DE"/>
        </w:rPr>
        <w:t>w sprawie wyrażenia opinii dotyczącej dzielnicowych i ogólnomiejskich projektów złożonych do „Budżetu Obywatelskiego 2021 w Gdańsku”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  <w:bookmarkStart w:id="4" w:name="_Hlk41240482"/>
      <w:bookmarkStart w:id="5" w:name="_Hlk41240482"/>
      <w:bookmarkEnd w:id="5"/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na podstawie § 14 ust. 1 pkt 13 Statutu Dzielnicy Orunia G</w:t>
      </w:r>
      <w:r>
        <w:rPr>
          <w:rFonts w:ascii="Trebuchet MS" w:hAnsi="Trebuchet MS"/>
          <w:sz w:val="24"/>
          <w:szCs w:val="24"/>
          <w:u w:val="none" w:color="000000"/>
          <w:lang w:val="es-ES_tradnl"/>
        </w:rPr>
        <w:t>ó</w:t>
      </w:r>
      <w:r>
        <w:rPr>
          <w:rFonts w:ascii="Trebuchet MS" w:hAnsi="Trebuchet MS"/>
          <w:sz w:val="24"/>
          <w:szCs w:val="24"/>
          <w:u w:val="none" w:color="000000"/>
          <w:lang w:val="de-DE"/>
        </w:rPr>
        <w:t>rna - Gdańsk Południe stanowiącego załącznik do Uchwały Nr III/26/18 Rady Miasta Gdańska z dnia 11 grudnia 2018 roku w sprawie uchwalenia Statutu Dzielnicy Orunia G</w:t>
      </w:r>
      <w:r>
        <w:rPr>
          <w:rFonts w:ascii="Trebuchet MS" w:hAnsi="Trebuchet MS"/>
          <w:sz w:val="24"/>
          <w:szCs w:val="24"/>
          <w:u w:val="none" w:color="000000"/>
          <w:lang w:val="es-ES_tradnl"/>
        </w:rPr>
        <w:t>ó</w:t>
      </w:r>
      <w:r>
        <w:rPr>
          <w:rFonts w:ascii="Trebuchet MS" w:hAnsi="Trebuchet MS"/>
          <w:sz w:val="24"/>
          <w:szCs w:val="24"/>
          <w:u w:val="none" w:color="000000"/>
          <w:lang w:val="de-DE"/>
        </w:rPr>
        <w:t>rna - Gdańsk Południe (Dz. Urz. Woj. Pomorskiego z 21.12.2018 r., poz. 5239)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b/>
          <w:b/>
          <w:bCs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b/>
          <w:bCs/>
          <w:sz w:val="24"/>
          <w:szCs w:val="24"/>
          <w:u w:val="none" w:color="000000"/>
          <w:lang w:val="de-DE"/>
        </w:rPr>
        <w:t>uchwala się, co następuje: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§1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Opiniuje się pozytywnie niżej wymienione dzielnicowe projekty złożone do „Budżetu Obywatelskiego 2021 w Gdańsku”: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Wykonanie III etapu (kontynuacja) ścieżki pieszo - rowerowej wzdłuż Potoku Oruńskiego od strony pętli tramwajowej Łostowice-Świętokrzyska (Zbiornika retencyjnego „Augustowska”) do Parku Oruńskiego.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Budowa schodów terenowych na skarpie od. ul. Dywizji Wołyńskiej do ścieżki pieszej wzdłuż budynku Bruskiego 11 oraz budowa ścieżki pieszej wzdłuż tego budynku.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Monitoring przy Zbiorniku Augustowska.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Łąka kwietna w Gaju Ojców oraz kwietniki z roślinami ozdobnymi w dwóch lokalizacjach nad Zbiornikiem Augustowska.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Łącznik drogowy Kadmowej umożliwiający wjazd i przejście na małomiejską.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Platynowa/Kadmowa/Rumla: Poprawa bezpieczeństwa na przejściu dla pieszych cz. II.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Aktywne spacery z wózkami przy zbiorniku retencyjnym Augustowska.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Rodzinna Gra Terenowa Gdańsk Południe - zabawa z mapą.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Plac ogniskowy i odnowienie zieleni na polanie w Parku Ferberów.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Kwietna łąka na Oruni Górnej ul. Hoene/Platynowa.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Zielone płuca na Oruni Górnej - nasadzenie drzew w otoczeniu zbiornika retencyjnego „Platynowa”.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Miejskie przestrzenie na Festyny Dzielnicy, imprezy osiedlowe i rekreację. Łucznicza/ Podleckiego/ Przemian.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Zadrzewienie ul. Ofiar Grudnia’70.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Zieleń urządzona z małą architekturą w „Miejscu rekreacji i spotkań mieszkańców przy ul. Srebrnej”.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Aleja dębów wzdłuż ścieżki do Zbiornika Augustowska.</w:t>
      </w:r>
    </w:p>
    <w:p>
      <w:pPr>
        <w:pStyle w:val="Tre"/>
        <w:numPr>
          <w:ilvl w:val="0"/>
          <w:numId w:val="1"/>
        </w:numPr>
        <w:bidi w:val="0"/>
        <w:spacing w:lineRule="atLeast" w:line="360" w:before="0" w:after="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Warsztaty wspomagające koncentrację, pamięć i proces skutecznego uczenia się dla dzieci (2).</w:t>
      </w:r>
    </w:p>
    <w:p>
      <w:pPr>
        <w:pStyle w:val="Tre"/>
        <w:numPr>
          <w:ilvl w:val="0"/>
          <w:numId w:val="1"/>
        </w:numPr>
        <w:bidi w:val="0"/>
        <w:spacing w:lineRule="atLeast" w:line="360"/>
        <w:ind w:left="393" w:right="0" w:hanging="393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Park przemian, zielony park miejski przy ul. Niepołomickiej w dzielnicy Orunia Górna-Gdańsk Południe.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§2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Opiniuje się pozytywnie niżej wymienione ogólnomiejskie projekty złożone do „Budżetu Obywatelskiego 2021 w Gdańsku”: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Zagospodarowanie terenów przy zbiornikach retencyjnych w Gdańsku - kontynuacja.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Budowa szatni z sanitariatami przy boisku na Smoleńskiej.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Dodatkowe połączenia południowych dzielnic Gdańska z Trasą W-Z odciążającą Aleję Havla, ul. Wilanowską oraz ul. Witosa w porannym szczycie komunikacyjnym.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Więcej cienia w Krainie Zabawy w Parku Reagana.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Stworzenie ogrodu z fontanną sensoryczną na trasie do Zbiornika Stara Orunia w sąsiedztwie Parku Oruńskiego.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Foodsharing Jadłodzielnia - pomóż, nie wyrzucaj.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Plac zabaw dla dzieci - Park Siennicki (miejsce pod kasztanami) przy ul. Wygon.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Plac zabaw dla dzieci przy ul. Reduta Dzik (Opływ Motławy).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Korpostrada rowerowa w Oliwie.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 xml:space="preserve"> </w:t>
      </w:r>
      <w:r>
        <w:rPr>
          <w:rFonts w:ascii="Trebuchet MS" w:hAnsi="Trebuchet MS"/>
          <w:sz w:val="24"/>
          <w:szCs w:val="24"/>
          <w:u w:val="none" w:color="000000"/>
          <w:lang w:val="de-DE"/>
        </w:rPr>
        <w:t>Na cza. Na miejsce. Na ratunek! Dla kotów!!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Remont chodnika i 3 drogi rowerowe do połączenia z Parkiem Reagana. Dokończenie projektu etap 2.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Park pikników - sportowy dla mieszkańców Gdańska.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Lewoskręt z ulicy Armii Krajowej w Vaclava Havla.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Zielona wizytówka Gdańska - Koncepcja rewaloryzacji północnej krawędzi Biskupiej Górki wzdłuż Al. Armii Krajowej obejmująca zagospodarowanie skarpy, realizację muralu i nasadzenia zieleni.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Chodnik naszych Dzielnic: Oliwa, Wrzeszcz Górny, Strzyża, Młyniska, Olszynka, Ujeścisko, Piecki-Migowo, Wrzeszcz Dolny.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Uroczo i bezpiecznie na Szańcu Zachodnim.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Boisko do gry w hokeja na rolkach / rolkowisko.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Profesjonalna bieżnia lekkoatletyczna o nawierzchni poliuretanowej, dostępna dla mieszkańców, w parku Jar Wilanowski.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Miejska plaża nad rzeką Motławą.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Podjazd dla wózków i rowerów oraz poszerzeni schodów na ul. Hausbrandta.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Projekt „Szympans”, czyli powiększamy wybieg naszym kuzynom z gdańskiego zoo!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Wielka Aleja Lipowa - dosadzenie nowych drzew oraz pielęgnacja już rosnących.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Bezpieczny sport i rekreacja na kółkach. Wspólne miejsce dla rolkarzy, wózkarzy u rowerzystów - Velodrom. Etap 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Rowerem i piechotą na Górki Zachodnie - budowa ciągu pieszo - rowerowego przy ul. Kępnej.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Remont Lęborskiej i Krynickiej wraz z chodnikami.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Zielona al. Havla - etap 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Sportowe bulwary nad Opływem Motławy - Etap 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Pomorska na miarę XXI w. - etap 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Bezpieczne przejścia dla pieszych: Buczka, Elbląska, Jabłoniowa, Krzemowa, Platynowa, Porębskiego, Reformacka, Wielkopolska.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Strefa rekreacji na Placu Zebrań Ludowych.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Gdańsk Południe: Havla - wydłużamy wygrany i planowany lewoskręt w kierunku obwodnicy?Auchan?Żukowo cz. III.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Aleja Grunwaldzka przez wielkie 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Sport bez barier! Integracyjny plac sportowy dla osób z niepełnosprawnościami ruchowymi.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Budowa chodnika na ul. Telewizyjnej i Radiowej.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Zielone torowisko na ul. Mickiewicza.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Zielony górny taras gdańska (Jasień, Kokoszki, Matarnia, Osowa) - 6 zieleńców w 4 dzielnicach.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Zagospodarowanie terenu ul. Liszta jako przestrzeń rekreacyjna wraz z miejscem grillowym i Liniarium dla dzieci.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Poprawa warunków ruchu na skrzyżowaniu al. Armii Krajowej, ul. Łostowickiej i al. Havla - przedłużenie lewoskrętu z AK w stronę Łostowickiej.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Park ogrodów deszczowych z psim parkiem na zboczu rur górnego tarasu - Granitowa Kadmowa Krzemowa.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Ścieżka Rowerowa Bolesława Chrobrego Etap 1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Tablice informacyjno-ogłoszeniowe dla rowerzystów.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Park kieszonkowy Przymorze Wielkie. Kwitnące wiśnie nie tylko w Japonii. Skwer wypoczynkowy za przychodnią.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Modułowe śmietniki edukacyjne.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Zielona ścieżka pieszo-rowerowa łącząca Orunię z Orunią Górną wzdłuż rur na wysokości od Granitowej, Małomiejskiej, Kadmowej do Krzemowej.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Park Oruński - miejsca postojowe.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Gdańszczanie sadzą drzewa.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Budowa nowej fontanny posadzkowej typu gry plaza - 30 dyszowej, podświetlanej o wymiarach 20 m2 na 20 m2 - rozebranie starej niedziałającej fontanny i w jej miejsce wybudowanie nowej fontanny.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Drzewa dla walki ze smogiem.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Zabytkowy tramwaj wraca na tory! - etap I</w:t>
      </w:r>
    </w:p>
    <w:p>
      <w:pPr>
        <w:pStyle w:val="Tre"/>
        <w:numPr>
          <w:ilvl w:val="0"/>
          <w:numId w:val="6"/>
        </w:numPr>
        <w:bidi w:val="0"/>
        <w:spacing w:lineRule="atLeast" w:line="38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Górny taras Gdańska (Jasień, Kokoszki, Matarnia, Osowa) - przystosowanie ulic na potrzeby lepszej komunikacji autobusowej.</w:t>
      </w:r>
    </w:p>
    <w:p>
      <w:pPr>
        <w:pStyle w:val="Tre"/>
        <w:numPr>
          <w:ilvl w:val="0"/>
          <w:numId w:val="6"/>
        </w:numPr>
        <w:bidi w:val="0"/>
        <w:spacing w:lineRule="atLeast" w:line="38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Ogrody deszczowe Gdańska - piękne i pożyteczne.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§3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Opiniuje się negatywnie niżej wymienione dzielnicowe projekty złożone do „Budżetu Obywatelskiego 2021 w Gdańsku”: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1. „Koty - Pomóżmy im”.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§4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Opiniuje się negatywnie niżej wymienione ogólnomiejskie projekty złożone do „Budżetu Obywatelskiego 2021 w Gdańsku”:</w:t>
      </w:r>
    </w:p>
    <w:p>
      <w:pPr>
        <w:pStyle w:val="Tre"/>
        <w:numPr>
          <w:ilvl w:val="0"/>
          <w:numId w:val="7"/>
        </w:numPr>
        <w:bidi w:val="0"/>
        <w:spacing w:lineRule="atLeast" w:line="36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Szybciej do celu.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 zdrowym ciele zdrowy duch! Dwu-funkcyjne obiektywy rekreacyjne na gdańskich plażach! Zimą sauna umilająca morsowanie w mroźnym Bałtyku, latem przewijalnia z pokojem dla niemowląt.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Likwidujemy Bezdomność Zwierząt - Sterylizacja i Kastracja Psów i Kotów.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Ratowanie Rozjeżdżonej Zieleni - Zielony Gdańsk.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Ograniczenie niskiej emisji z budynków komunalnych. Zmiana typów ogrzewania na ekologiczne.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Sprawdzamy radnych jak głosują - wygodna strona internetowa.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Rozświetlmy trybuny Stadionu Energa Gdańsk!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Polana pikników - grillowa w Parku Reagana.</w:t>
      </w:r>
    </w:p>
    <w:p>
      <w:pPr>
        <w:pStyle w:val="Tre"/>
        <w:numPr>
          <w:ilvl w:val="0"/>
          <w:numId w:val="6"/>
        </w:numPr>
        <w:bidi w:val="0"/>
        <w:spacing w:lineRule="atLeast" w:line="36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Pierwsza pomoc dla rodziców i opiekunów małych dzieci.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left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left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§5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Uchwała wchodzi w życie z dniem podję</w:t>
      </w:r>
      <w:r>
        <w:rPr>
          <w:rFonts w:ascii="Trebuchet MS" w:hAnsi="Trebuchet MS"/>
          <w:sz w:val="24"/>
          <w:szCs w:val="24"/>
          <w:u w:val="none" w:color="000000"/>
          <w:lang w:val="it-IT"/>
        </w:rPr>
        <w:t>cia.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center"/>
        <w:rPr>
          <w:rFonts w:ascii="Trebuchet MS" w:hAnsi="Trebuchet MS" w:eastAsia="Trebuchet MS" w:cs="Trebuchet MS"/>
          <w:b/>
          <w:b/>
          <w:bCs/>
          <w:sz w:val="24"/>
          <w:szCs w:val="24"/>
          <w:u w:val="single" w:color="000000"/>
          <w:lang w:val="de-DE"/>
        </w:rPr>
      </w:pPr>
      <w:r>
        <w:rPr>
          <w:rFonts w:ascii="Trebuchet MS" w:hAnsi="Trebuchet MS"/>
          <w:b/>
          <w:bCs/>
          <w:sz w:val="24"/>
          <w:szCs w:val="24"/>
          <w:u w:val="single" w:color="000000"/>
          <w:lang w:val="de-DE"/>
        </w:rPr>
        <w:t>UZASADNIENIE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0" w:right="0" w:hanging="0"/>
        <w:jc w:val="both"/>
        <w:rPr>
          <w:rFonts w:ascii="Trebuchet MS" w:hAnsi="Trebuchet MS" w:eastAsia="Trebuchet MS" w:cs="Trebuchet MS"/>
          <w:b/>
          <w:b/>
          <w:bCs/>
          <w:sz w:val="24"/>
          <w:szCs w:val="24"/>
          <w:u w:val="single" w:color="000000"/>
          <w:lang w:val="de-DE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  <w:u w:val="singl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Ad. § 3: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1. W ocenie Rady Dzielnicy Orunia Górna-Gdańsk Południe problem bezdomności kotów jest znikomy.</w:t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eastAsia="Trebuchet MS" w:cs="Trebuchet MS" w:ascii="Trebuchet MS" w:hAnsi="Trebuchet MS"/>
          <w:sz w:val="24"/>
          <w:szCs w:val="24"/>
          <w:u w:val="none" w:color="000000"/>
          <w:lang w:val="de-DE"/>
        </w:rPr>
      </w:r>
    </w:p>
    <w:p>
      <w:pPr>
        <w:pStyle w:val="Tre"/>
        <w:tabs>
          <w:tab w:val="clear" w:pos="720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tLeast" w:line="360"/>
        <w:ind w:left="0" w:right="0" w:hanging="0"/>
        <w:jc w:val="both"/>
        <w:rPr>
          <w:rFonts w:ascii="Trebuchet MS" w:hAnsi="Trebuchet MS" w:eastAsia="Trebuchet MS" w:cs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Ad. § 4:</w:t>
      </w:r>
    </w:p>
    <w:p>
      <w:pPr>
        <w:pStyle w:val="Tre"/>
        <w:numPr>
          <w:ilvl w:val="0"/>
          <w:numId w:val="8"/>
        </w:numPr>
        <w:bidi w:val="0"/>
        <w:spacing w:lineRule="atLeast" w:line="36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 ocenie Rady Dzielnicy w obecnych czasach rowerzyści korzystają z nawigacji i przed wyruszeniem w trasę sprawdzają trasę.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 ocenie Rady Dzielnicy na obecnym etapie rozwoju miasta Rada wyraża zaniepokojenie kto i z jakich środków będzie dbał o te sauny.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Projekt dotyczący sterylizacji i kastracji bezdomnych zwierząt jest wieloletnią kontynuacją. Ponieważ projekt jest co roku powtarzany, a efektów właściwie nie widać.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Jest to zadanie własne Gdańskiego Zarządu Dróg i Zieleni.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 xml:space="preserve">Zdaniem Rady Dzielnicy Orunia Górna-Gdańsk Południe wymiana pieców winna nastąpić w ramach działań własnych Gdańskich Nieruchomości. 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Protokoły z sesji Rad Miasta są dostępne na stronie. Jeśli mieszkaniec ma chęć to sprawdzi jak dana osoba głosowała.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Wg Rady jest to zadanie własne Stadionu Energa Gdańsk.</w:t>
      </w:r>
    </w:p>
    <w:p>
      <w:pPr>
        <w:pStyle w:val="Tre"/>
        <w:numPr>
          <w:ilvl w:val="0"/>
          <w:numId w:val="6"/>
        </w:numPr>
        <w:bidi w:val="0"/>
        <w:spacing w:lineRule="atLeast" w:line="360" w:before="0" w:after="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 opinii Rady Dzielnicy Orunia Górna-Gdańsk Południe na terenie Parku Reagana jest wystarczająca liczba miejsc piknikowo - grillowych.</w:t>
      </w:r>
    </w:p>
    <w:p>
      <w:pPr>
        <w:pStyle w:val="Tre"/>
        <w:numPr>
          <w:ilvl w:val="0"/>
          <w:numId w:val="6"/>
        </w:numPr>
        <w:bidi w:val="0"/>
        <w:spacing w:lineRule="atLeast" w:line="360"/>
        <w:ind w:left="360" w:right="0" w:hanging="360"/>
        <w:jc w:val="both"/>
        <w:rPr>
          <w:rFonts w:ascii="Trebuchet MS" w:hAnsi="Trebuchet MS"/>
          <w:sz w:val="24"/>
          <w:szCs w:val="24"/>
          <w:u w:val="none" w:color="000000"/>
          <w:lang w:val="de-DE"/>
        </w:rPr>
      </w:pPr>
      <w:r>
        <w:rPr>
          <w:rFonts w:ascii="Trebuchet MS" w:hAnsi="Trebuchet MS"/>
          <w:sz w:val="24"/>
          <w:szCs w:val="24"/>
          <w:u w:val="none" w:color="000000"/>
          <w:lang w:val="de-DE"/>
        </w:rPr>
        <w:t>W placówkach opiekuńczo-wychowawczych oraz oświatowych jest prowadzony szereg działań propagujących nieodpłatne warsztaty z pierwszej pomocy.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09" w:top="1134" w:footer="85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Helvetica Neue">
    <w:charset w:val="ee"/>
    <w:family w:val="roman"/>
    <w:pitch w:val="variable"/>
  </w:font>
  <w:font w:name="Trebuchet MS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9204"/>
        </w:tabs>
        <w:ind w:left="39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1">
      <w:start w:val="1"/>
      <w:numFmt w:val="decimal"/>
      <w:lvlText w:val="%2."/>
      <w:lvlJc w:val="left"/>
      <w:pPr>
        <w:tabs>
          <w:tab w:val="num" w:pos="9204"/>
        </w:tabs>
        <w:ind w:left="75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2">
      <w:start w:val="1"/>
      <w:numFmt w:val="decimal"/>
      <w:lvlText w:val="%3."/>
      <w:lvlJc w:val="left"/>
      <w:pPr>
        <w:tabs>
          <w:tab w:val="num" w:pos="9204"/>
        </w:tabs>
        <w:ind w:left="111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9204"/>
        </w:tabs>
        <w:ind w:left="147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4">
      <w:start w:val="1"/>
      <w:numFmt w:val="decimal"/>
      <w:lvlText w:val="%5."/>
      <w:lvlJc w:val="left"/>
      <w:pPr>
        <w:tabs>
          <w:tab w:val="num" w:pos="9204"/>
        </w:tabs>
        <w:ind w:left="183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5">
      <w:start w:val="1"/>
      <w:numFmt w:val="decimal"/>
      <w:lvlText w:val="%6."/>
      <w:lvlJc w:val="left"/>
      <w:pPr>
        <w:tabs>
          <w:tab w:val="num" w:pos="9204"/>
        </w:tabs>
        <w:ind w:left="219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9204"/>
        </w:tabs>
        <w:ind w:left="255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7">
      <w:start w:val="1"/>
      <w:numFmt w:val="decimal"/>
      <w:lvlText w:val="%8."/>
      <w:lvlJc w:val="left"/>
      <w:pPr>
        <w:tabs>
          <w:tab w:val="num" w:pos="9204"/>
        </w:tabs>
        <w:ind w:left="291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8">
      <w:start w:val="1"/>
      <w:numFmt w:val="decimal"/>
      <w:lvlText w:val="%9."/>
      <w:lvlJc w:val="left"/>
      <w:pPr>
        <w:tabs>
          <w:tab w:val="num" w:pos="9204"/>
        </w:tabs>
        <w:ind w:left="3273" w:hanging="39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9204"/>
        </w:tabs>
        <w:ind w:left="3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1">
      <w:start w:val="1"/>
      <w:numFmt w:val="decimal"/>
      <w:lvlText w:val="%2."/>
      <w:lvlJc w:val="left"/>
      <w:pPr>
        <w:tabs>
          <w:tab w:val="num" w:pos="9204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2">
      <w:start w:val="1"/>
      <w:numFmt w:val="decimal"/>
      <w:lvlText w:val="%3."/>
      <w:lvlJc w:val="left"/>
      <w:pPr>
        <w:tabs>
          <w:tab w:val="num" w:pos="9204"/>
        </w:tabs>
        <w:ind w:left="10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9204"/>
        </w:tabs>
        <w:ind w:left="14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4">
      <w:start w:val="1"/>
      <w:numFmt w:val="decimal"/>
      <w:lvlText w:val="%5."/>
      <w:lvlJc w:val="left"/>
      <w:pPr>
        <w:tabs>
          <w:tab w:val="num" w:pos="9204"/>
        </w:tabs>
        <w:ind w:left="18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5">
      <w:start w:val="1"/>
      <w:numFmt w:val="decimal"/>
      <w:lvlText w:val="%6."/>
      <w:lvlJc w:val="left"/>
      <w:pPr>
        <w:tabs>
          <w:tab w:val="num" w:pos="9204"/>
        </w:tabs>
        <w:ind w:left="21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9204"/>
        </w:tabs>
        <w:ind w:left="25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7">
      <w:start w:val="1"/>
      <w:numFmt w:val="decimal"/>
      <w:lvlText w:val="%8."/>
      <w:lvlJc w:val="left"/>
      <w:pPr>
        <w:tabs>
          <w:tab w:val="num" w:pos="9204"/>
        </w:tabs>
        <w:ind w:left="28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8">
      <w:start w:val="1"/>
      <w:numFmt w:val="decimal"/>
      <w:lvlText w:val="%9."/>
      <w:lvlJc w:val="left"/>
      <w:pPr>
        <w:tabs>
          <w:tab w:val="num" w:pos="9204"/>
        </w:tabs>
        <w:ind w:left="32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9204"/>
        </w:tabs>
        <w:ind w:left="3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1">
      <w:start w:val="1"/>
      <w:numFmt w:val="decimal"/>
      <w:lvlText w:val="%2."/>
      <w:lvlJc w:val="left"/>
      <w:pPr>
        <w:tabs>
          <w:tab w:val="num" w:pos="9204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2">
      <w:start w:val="1"/>
      <w:numFmt w:val="decimal"/>
      <w:lvlText w:val="%3."/>
      <w:lvlJc w:val="left"/>
      <w:pPr>
        <w:tabs>
          <w:tab w:val="num" w:pos="9204"/>
        </w:tabs>
        <w:ind w:left="10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9204"/>
        </w:tabs>
        <w:ind w:left="14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4">
      <w:start w:val="1"/>
      <w:numFmt w:val="decimal"/>
      <w:lvlText w:val="%5."/>
      <w:lvlJc w:val="left"/>
      <w:pPr>
        <w:tabs>
          <w:tab w:val="num" w:pos="9204"/>
        </w:tabs>
        <w:ind w:left="18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5">
      <w:start w:val="1"/>
      <w:numFmt w:val="decimal"/>
      <w:lvlText w:val="%6."/>
      <w:lvlJc w:val="left"/>
      <w:pPr>
        <w:tabs>
          <w:tab w:val="num" w:pos="9204"/>
        </w:tabs>
        <w:ind w:left="21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9204"/>
        </w:tabs>
        <w:ind w:left="25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7">
      <w:start w:val="1"/>
      <w:numFmt w:val="decimal"/>
      <w:lvlText w:val="%8."/>
      <w:lvlJc w:val="left"/>
      <w:pPr>
        <w:tabs>
          <w:tab w:val="num" w:pos="9204"/>
        </w:tabs>
        <w:ind w:left="28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8">
      <w:start w:val="1"/>
      <w:numFmt w:val="decimal"/>
      <w:lvlText w:val="%9."/>
      <w:lvlJc w:val="left"/>
      <w:pPr>
        <w:tabs>
          <w:tab w:val="num" w:pos="9204"/>
        </w:tabs>
        <w:ind w:left="32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9204"/>
        </w:tabs>
        <w:ind w:left="3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1">
      <w:start w:val="1"/>
      <w:numFmt w:val="decimal"/>
      <w:lvlText w:val="%2."/>
      <w:lvlJc w:val="left"/>
      <w:pPr>
        <w:tabs>
          <w:tab w:val="num" w:pos="9204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2">
      <w:start w:val="1"/>
      <w:numFmt w:val="decimal"/>
      <w:lvlText w:val="%3."/>
      <w:lvlJc w:val="left"/>
      <w:pPr>
        <w:tabs>
          <w:tab w:val="num" w:pos="9204"/>
        </w:tabs>
        <w:ind w:left="10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9204"/>
        </w:tabs>
        <w:ind w:left="14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4">
      <w:start w:val="1"/>
      <w:numFmt w:val="decimal"/>
      <w:lvlText w:val="%5."/>
      <w:lvlJc w:val="left"/>
      <w:pPr>
        <w:tabs>
          <w:tab w:val="num" w:pos="9204"/>
        </w:tabs>
        <w:ind w:left="18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5">
      <w:start w:val="1"/>
      <w:numFmt w:val="decimal"/>
      <w:lvlText w:val="%6."/>
      <w:lvlJc w:val="left"/>
      <w:pPr>
        <w:tabs>
          <w:tab w:val="num" w:pos="9204"/>
        </w:tabs>
        <w:ind w:left="21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9204"/>
        </w:tabs>
        <w:ind w:left="25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7">
      <w:start w:val="1"/>
      <w:numFmt w:val="decimal"/>
      <w:lvlText w:val="%8."/>
      <w:lvlJc w:val="left"/>
      <w:pPr>
        <w:tabs>
          <w:tab w:val="num" w:pos="9204"/>
        </w:tabs>
        <w:ind w:left="28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  <w:lvl w:ilvl="8">
      <w:start w:val="1"/>
      <w:numFmt w:val="decimal"/>
      <w:lvlText w:val="%9."/>
      <w:lvlJc w:val="left"/>
      <w:pPr>
        <w:tabs>
          <w:tab w:val="num" w:pos="9204"/>
        </w:tabs>
        <w:ind w:left="32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pacing w:val="0"/>
        <w:kern w:val="0"/>
        <w:w w:val="100"/>
        <w:emboss w:val="false"/>
        <w:imprint w:val="fals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9204"/>
          </w:tabs>
          <w:ind w:left="36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9204"/>
          </w:tabs>
          <w:ind w:left="72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9204"/>
          </w:tabs>
          <w:ind w:left="108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9204"/>
          </w:tabs>
          <w:ind w:left="144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9204"/>
          </w:tabs>
          <w:ind w:left="180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9204"/>
          </w:tabs>
          <w:ind w:left="216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9204"/>
          </w:tabs>
          <w:ind w:left="252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9204"/>
          </w:tabs>
          <w:ind w:left="288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9204"/>
          </w:tabs>
          <w:ind w:left="324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</w:num>
  <w:num w:numId="7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9204"/>
          </w:tabs>
          <w:ind w:left="36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9204"/>
          </w:tabs>
          <w:ind w:left="72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9204"/>
          </w:tabs>
          <w:ind w:left="108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9204"/>
          </w:tabs>
          <w:ind w:left="144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9204"/>
          </w:tabs>
          <w:ind w:left="180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9204"/>
          </w:tabs>
          <w:ind w:left="216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9204"/>
          </w:tabs>
          <w:ind w:left="252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9204"/>
          </w:tabs>
          <w:ind w:left="288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9204"/>
          </w:tabs>
          <w:ind w:left="324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9204"/>
          </w:tabs>
          <w:ind w:left="36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9204"/>
          </w:tabs>
          <w:ind w:left="72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9204"/>
          </w:tabs>
          <w:ind w:left="108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9204"/>
          </w:tabs>
          <w:ind w:left="144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9204"/>
          </w:tabs>
          <w:ind w:left="180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9204"/>
          </w:tabs>
          <w:ind w:left="216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9204"/>
          </w:tabs>
          <w:ind w:left="252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9204"/>
          </w:tabs>
          <w:ind w:left="288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9204"/>
          </w:tabs>
          <w:ind w:left="3240" w:hanging="360"/>
        </w:pPr>
        <w:rPr>
          <w:smallCaps w:val="false"/>
          <w:caps w:val="false"/>
          <w:outline w:val="false"/>
          <w:dstrike w:val="false"/>
          <w:strike w:val="false"/>
          <w:vertAlign w:val="baseline"/>
          <w:position w:val="0"/>
          <w:sz w:val="24"/>
          <w:spacing w:val="0"/>
          <w:kern w:val="0"/>
          <w:w w:val="100"/>
          <w:emboss w:val="false"/>
          <w:imprint w:val="false"/>
        </w:rPr>
      </w:lvl>
    </w:lvlOverride>
  </w:num>
</w:numbering>
</file>

<file path=word/settings.xml><?xml version="1.0" encoding="utf-8"?>
<w:settings xmlns:w="http://schemas.openxmlformats.org/wordprocessingml/2006/main">
  <w:zoom w:percent="120"/>
  <w:displayBackgroundShape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character" w:styleId="DefaultParagraphFont" w:default="1">
    <w:name w:val="Default Paragraph Font"/>
    <w:qFormat/>
    <w:rPr/>
  </w:style>
  <w:style w:type="character" w:styleId="Czeinternetowe">
    <w:name w:val="Łącze internetowe"/>
    <w:rPr>
      <w:u w:val="single" w:color="FFFFFF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re">
    <w:name w:val="Treść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2"/>
      <w:sz w:val="22"/>
      <w:szCs w:val="22"/>
      <w:u w:val="none" w:color="FFFFFF"/>
      <w:vertAlign w:val="baseline"/>
      <w:lang w:val="pl-PL" w:eastAsia="zh-CN" w:bidi="hi-IN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Stopka">
    <w:name w:val="Footer"/>
    <w:basedOn w:val="Gwkaistopka"/>
    <w:pPr/>
    <w:rPr/>
  </w:style>
  <w:style w:type="numbering" w:styleId="NoList" w:default="1">
    <w:name w:val="No List"/>
    <w:qFormat/>
  </w:style>
  <w:style w:type="numbering" w:styleId="Numery">
    <w:name w:val="Numery"/>
    <w:qFormat/>
  </w:style>
  <w:style w:type="table" w:default="1" w:styleId="Table Normal">
    <w:name w:val="Table Normal"/>
    <w:tblPr>
      <w:tblInd w:w="0" w:type="dxa"/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LibreOffice/6.4.3.2$Windows_X86_64 LibreOffice_project/747b5d0ebf89f41c860ec2a39efd7cb15b54f2d8</Application>
  <Pages>7</Pages>
  <Words>1222</Words>
  <Characters>7372</Characters>
  <CharactersWithSpaces>8408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revision>0</cp:revision>
  <dc:subject/>
  <dc:title/>
</cp:coreProperties>
</file>